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年本级财政收支预算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调整方案</w:t>
      </w:r>
    </w:p>
    <w:p>
      <w:pPr>
        <w:spacing w:line="500" w:lineRule="exact"/>
        <w:rPr>
          <w:color w:val="auto"/>
          <w:sz w:val="18"/>
        </w:rPr>
      </w:pPr>
    </w:p>
    <w:p>
      <w:pPr>
        <w:spacing w:line="579" w:lineRule="exact"/>
        <w:ind w:firstLine="640" w:firstLineChars="200"/>
        <w:rPr>
          <w:rFonts w:ascii="黑体" w:eastAsia="黑体"/>
          <w:bCs w:val="0"/>
          <w:color w:val="auto"/>
        </w:rPr>
      </w:pPr>
      <w:r>
        <w:rPr>
          <w:rFonts w:eastAsia="黑体"/>
          <w:bCs w:val="0"/>
          <w:color w:val="auto"/>
        </w:rPr>
        <w:t>一、</w:t>
      </w:r>
      <w:r>
        <w:rPr>
          <w:rFonts w:ascii="黑体" w:eastAsia="黑体"/>
          <w:bCs w:val="0"/>
          <w:color w:val="auto"/>
        </w:rPr>
        <w:t>政府性基金</w:t>
      </w:r>
      <w:r>
        <w:rPr>
          <w:rFonts w:hint="eastAsia" w:ascii="黑体" w:eastAsia="黑体"/>
          <w:bCs w:val="0"/>
          <w:color w:val="auto"/>
        </w:rPr>
        <w:t>类预算</w:t>
      </w:r>
      <w:r>
        <w:rPr>
          <w:rFonts w:ascii="黑体" w:eastAsia="黑体"/>
          <w:bCs w:val="0"/>
          <w:color w:val="auto"/>
        </w:rPr>
        <w:t>收入调整情况</w:t>
      </w:r>
    </w:p>
    <w:p>
      <w:pPr>
        <w:spacing w:line="579" w:lineRule="exact"/>
        <w:ind w:firstLine="643" w:firstLineChars="200"/>
        <w:rPr>
          <w:bCs w:val="0"/>
          <w:color w:val="auto"/>
        </w:rPr>
      </w:pPr>
      <w:r>
        <w:rPr>
          <w:b/>
          <w:bCs w:val="0"/>
          <w:color w:val="auto"/>
        </w:rPr>
        <w:t>政府性基金</w:t>
      </w:r>
      <w:r>
        <w:rPr>
          <w:rFonts w:hint="eastAsia"/>
          <w:b/>
          <w:bCs w:val="0"/>
          <w:color w:val="auto"/>
        </w:rPr>
        <w:t>类预算</w:t>
      </w:r>
      <w:r>
        <w:rPr>
          <w:b/>
          <w:bCs w:val="0"/>
          <w:color w:val="auto"/>
        </w:rPr>
        <w:t>收入</w:t>
      </w:r>
      <w:r>
        <w:rPr>
          <w:rFonts w:hint="eastAsia"/>
          <w:b/>
          <w:bCs w:val="0"/>
          <w:color w:val="auto"/>
        </w:rPr>
        <w:t>由230,965</w:t>
      </w:r>
      <w:r>
        <w:rPr>
          <w:b/>
          <w:bCs w:val="0"/>
          <w:color w:val="auto"/>
        </w:rPr>
        <w:t>万元</w:t>
      </w:r>
      <w:r>
        <w:rPr>
          <w:rFonts w:hint="eastAsia"/>
          <w:b/>
          <w:bCs w:val="0"/>
          <w:color w:val="auto"/>
        </w:rPr>
        <w:t>调整为243,965</w:t>
      </w:r>
      <w:r>
        <w:rPr>
          <w:b/>
          <w:bCs w:val="0"/>
          <w:color w:val="auto"/>
        </w:rPr>
        <w:t>万元，比年初预算</w:t>
      </w:r>
      <w:r>
        <w:rPr>
          <w:rFonts w:hint="eastAsia"/>
          <w:b/>
          <w:bCs w:val="0"/>
          <w:color w:val="auto"/>
        </w:rPr>
        <w:t>调增</w:t>
      </w:r>
      <w:r>
        <w:rPr>
          <w:rFonts w:hint="eastAsia"/>
          <w:b/>
          <w:bCs w:val="0"/>
          <w:color w:val="auto"/>
          <w:lang w:val="en-US" w:eastAsia="zh-CN"/>
        </w:rPr>
        <w:t>13</w:t>
      </w:r>
      <w:r>
        <w:rPr>
          <w:b/>
          <w:bCs w:val="0"/>
          <w:color w:val="auto"/>
        </w:rPr>
        <w:t>,</w:t>
      </w:r>
      <w:r>
        <w:rPr>
          <w:rFonts w:hint="eastAsia"/>
          <w:b/>
          <w:bCs w:val="0"/>
          <w:color w:val="auto"/>
        </w:rPr>
        <w:t>000</w:t>
      </w:r>
      <w:r>
        <w:rPr>
          <w:b/>
          <w:bCs w:val="0"/>
          <w:color w:val="auto"/>
        </w:rPr>
        <w:t>万元，调整</w:t>
      </w:r>
      <w:r>
        <w:rPr>
          <w:rFonts w:hint="eastAsia"/>
          <w:b/>
          <w:bCs w:val="0"/>
          <w:color w:val="auto"/>
        </w:rPr>
        <w:t>为</w:t>
      </w:r>
      <w:r>
        <w:rPr>
          <w:b/>
          <w:bCs w:val="0"/>
          <w:color w:val="auto"/>
        </w:rPr>
        <w:t>同比</w:t>
      </w:r>
      <w:r>
        <w:rPr>
          <w:rFonts w:hint="eastAsia"/>
          <w:b/>
          <w:bCs w:val="0"/>
          <w:color w:val="auto"/>
          <w:lang w:eastAsia="zh-CN"/>
        </w:rPr>
        <w:t>下降</w:t>
      </w:r>
      <w:r>
        <w:rPr>
          <w:rFonts w:hint="eastAsia"/>
          <w:b/>
          <w:bCs w:val="0"/>
          <w:color w:val="auto"/>
          <w:lang w:val="en-US" w:eastAsia="zh-CN"/>
        </w:rPr>
        <w:t>44.0</w:t>
      </w:r>
      <w:r>
        <w:rPr>
          <w:b/>
          <w:bCs w:val="0"/>
          <w:color w:val="auto"/>
        </w:rPr>
        <w:t>%</w:t>
      </w:r>
      <w:r>
        <w:rPr>
          <w:rFonts w:hint="eastAsia"/>
          <w:b/>
          <w:bCs w:val="0"/>
          <w:color w:val="auto"/>
        </w:rPr>
        <w:t>。</w:t>
      </w:r>
      <w:r>
        <w:rPr>
          <w:bCs w:val="0"/>
          <w:color w:val="auto"/>
        </w:rPr>
        <w:t>其中：</w:t>
      </w:r>
      <w:r>
        <w:rPr>
          <w:rFonts w:hint="eastAsia"/>
          <w:color w:val="auto"/>
        </w:rPr>
        <w:t>新增债务转贷</w:t>
      </w:r>
      <w:r>
        <w:rPr>
          <w:color w:val="auto"/>
        </w:rPr>
        <w:t>收入</w:t>
      </w:r>
      <w:r>
        <w:rPr>
          <w:rFonts w:hint="eastAsia"/>
          <w:bCs w:val="0"/>
          <w:color w:val="auto"/>
          <w:lang w:val="en-US" w:eastAsia="zh-CN"/>
        </w:rPr>
        <w:t>13</w:t>
      </w:r>
      <w:r>
        <w:rPr>
          <w:rFonts w:hint="eastAsia"/>
          <w:bCs w:val="0"/>
          <w:color w:val="auto"/>
        </w:rPr>
        <w:t>,000</w:t>
      </w:r>
      <w:r>
        <w:rPr>
          <w:bCs w:val="0"/>
          <w:color w:val="auto"/>
        </w:rPr>
        <w:t>万元</w:t>
      </w:r>
      <w:r>
        <w:rPr>
          <w:rFonts w:hint="eastAsia"/>
          <w:bCs w:val="0"/>
          <w:color w:val="auto"/>
        </w:rPr>
        <w:t>，为广东省</w:t>
      </w:r>
      <w:r>
        <w:rPr>
          <w:rFonts w:hint="eastAsia"/>
          <w:bCs w:val="0"/>
          <w:color w:val="auto"/>
          <w:lang w:val="en-US" w:eastAsia="zh-CN"/>
        </w:rPr>
        <w:t>3</w:t>
      </w:r>
      <w:r>
        <w:rPr>
          <w:rFonts w:hint="eastAsia"/>
          <w:bCs w:val="0"/>
          <w:color w:val="auto"/>
        </w:rPr>
        <w:t>月份下达的</w:t>
      </w:r>
      <w:r>
        <w:rPr>
          <w:rFonts w:hint="eastAsia"/>
          <w:bCs w:val="0"/>
          <w:color w:val="auto"/>
          <w:lang w:eastAsia="zh-CN"/>
        </w:rPr>
        <w:t>提前</w:t>
      </w:r>
      <w:r>
        <w:rPr>
          <w:rFonts w:hint="eastAsia"/>
          <w:bCs w:val="0"/>
          <w:color w:val="auto"/>
        </w:rPr>
        <w:t>批新增债券转贷资金。</w:t>
      </w:r>
    </w:p>
    <w:p>
      <w:pPr>
        <w:spacing w:line="579" w:lineRule="exact"/>
        <w:ind w:firstLine="640" w:firstLineChars="200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二</w:t>
      </w:r>
      <w:r>
        <w:rPr>
          <w:rFonts w:eastAsia="黑体"/>
          <w:color w:val="auto"/>
        </w:rPr>
        <w:t>、政府性</w:t>
      </w:r>
      <w:r>
        <w:rPr>
          <w:rFonts w:hint="eastAsia" w:eastAsia="黑体"/>
          <w:color w:val="auto"/>
        </w:rPr>
        <w:t>基金类预算</w:t>
      </w:r>
      <w:r>
        <w:rPr>
          <w:rFonts w:eastAsia="黑体"/>
          <w:color w:val="auto"/>
        </w:rPr>
        <w:t>支出调整情况</w:t>
      </w:r>
    </w:p>
    <w:p>
      <w:pPr>
        <w:spacing w:line="579" w:lineRule="exact"/>
        <w:ind w:firstLine="643" w:firstLineChars="200"/>
        <w:rPr>
          <w:rFonts w:hint="eastAsia"/>
          <w:color w:val="auto"/>
        </w:rPr>
      </w:pPr>
      <w:r>
        <w:rPr>
          <w:b/>
          <w:bCs w:val="0"/>
          <w:color w:val="auto"/>
        </w:rPr>
        <w:t>政府性基金</w:t>
      </w:r>
      <w:r>
        <w:rPr>
          <w:rFonts w:hint="eastAsia"/>
          <w:b/>
          <w:bCs w:val="0"/>
          <w:color w:val="auto"/>
        </w:rPr>
        <w:t>类</w:t>
      </w:r>
      <w:r>
        <w:rPr>
          <w:b/>
          <w:bCs w:val="0"/>
          <w:color w:val="auto"/>
        </w:rPr>
        <w:t>预算</w:t>
      </w:r>
      <w:r>
        <w:rPr>
          <w:rFonts w:hint="eastAsia"/>
          <w:b/>
          <w:bCs w:val="0"/>
          <w:color w:val="auto"/>
        </w:rPr>
        <w:t>支出</w:t>
      </w:r>
      <w:r>
        <w:rPr>
          <w:b/>
          <w:color w:val="auto"/>
        </w:rPr>
        <w:t>由</w:t>
      </w:r>
      <w:r>
        <w:rPr>
          <w:rFonts w:hint="eastAsia"/>
          <w:b/>
          <w:color w:val="auto"/>
        </w:rPr>
        <w:t>230,965万元调整为243,965</w:t>
      </w:r>
      <w:r>
        <w:rPr>
          <w:b/>
          <w:color w:val="auto"/>
        </w:rPr>
        <w:t>万元, 比年初预算</w:t>
      </w:r>
      <w:r>
        <w:rPr>
          <w:rFonts w:hint="eastAsia"/>
          <w:b/>
          <w:color w:val="auto"/>
        </w:rPr>
        <w:t>调增</w:t>
      </w:r>
      <w:r>
        <w:rPr>
          <w:rFonts w:hint="eastAsia"/>
          <w:b/>
          <w:color w:val="auto"/>
          <w:lang w:val="en-US" w:eastAsia="zh-CN"/>
        </w:rPr>
        <w:t>13</w:t>
      </w:r>
      <w:r>
        <w:rPr>
          <w:b/>
          <w:color w:val="auto"/>
        </w:rPr>
        <w:t>,</w:t>
      </w:r>
      <w:r>
        <w:rPr>
          <w:rFonts w:hint="eastAsia"/>
          <w:b/>
          <w:color w:val="auto"/>
        </w:rPr>
        <w:t>000</w:t>
      </w:r>
      <w:r>
        <w:rPr>
          <w:b/>
          <w:color w:val="auto"/>
        </w:rPr>
        <w:t>万元，调整</w:t>
      </w:r>
      <w:r>
        <w:rPr>
          <w:rFonts w:hint="eastAsia"/>
          <w:b/>
          <w:color w:val="auto"/>
        </w:rPr>
        <w:t>为</w:t>
      </w:r>
      <w:r>
        <w:rPr>
          <w:b/>
          <w:color w:val="auto"/>
        </w:rPr>
        <w:t>同比</w:t>
      </w:r>
      <w:r>
        <w:rPr>
          <w:rFonts w:hint="eastAsia"/>
          <w:b/>
          <w:color w:val="auto"/>
          <w:lang w:eastAsia="zh-CN"/>
        </w:rPr>
        <w:t>下降</w:t>
      </w:r>
      <w:r>
        <w:rPr>
          <w:rFonts w:hint="eastAsia"/>
          <w:b/>
          <w:color w:val="auto"/>
          <w:lang w:val="en-US" w:eastAsia="zh-CN"/>
        </w:rPr>
        <w:t>44.0</w:t>
      </w:r>
      <w:r>
        <w:rPr>
          <w:b/>
          <w:color w:val="auto"/>
        </w:rPr>
        <w:t>%。</w:t>
      </w:r>
      <w:r>
        <w:rPr>
          <w:rFonts w:hint="eastAsia"/>
          <w:color w:val="auto"/>
        </w:rPr>
        <w:t>其中：</w:t>
      </w:r>
      <w:r>
        <w:rPr>
          <w:color w:val="auto"/>
        </w:rPr>
        <w:t>政府性基金</w:t>
      </w:r>
      <w:r>
        <w:rPr>
          <w:rFonts w:hint="eastAsia"/>
          <w:color w:val="auto"/>
        </w:rPr>
        <w:t>预算支出</w:t>
      </w:r>
      <w:r>
        <w:rPr>
          <w:rFonts w:hint="eastAsia"/>
          <w:bCs w:val="0"/>
          <w:color w:val="auto"/>
        </w:rPr>
        <w:t>由171,686</w:t>
      </w:r>
      <w:r>
        <w:rPr>
          <w:bCs w:val="0"/>
          <w:color w:val="auto"/>
        </w:rPr>
        <w:t>万元</w:t>
      </w:r>
      <w:r>
        <w:rPr>
          <w:rFonts w:hint="eastAsia"/>
          <w:bCs w:val="0"/>
          <w:color w:val="auto"/>
        </w:rPr>
        <w:t>调整为184,686</w:t>
      </w:r>
      <w:r>
        <w:rPr>
          <w:bCs w:val="0"/>
          <w:color w:val="auto"/>
        </w:rPr>
        <w:t>万元，比年初预算</w:t>
      </w:r>
      <w:r>
        <w:rPr>
          <w:rFonts w:hint="eastAsia"/>
          <w:bCs w:val="0"/>
          <w:color w:val="auto"/>
        </w:rPr>
        <w:t>调增</w:t>
      </w:r>
      <w:r>
        <w:rPr>
          <w:rFonts w:hint="eastAsia"/>
          <w:bCs w:val="0"/>
          <w:color w:val="auto"/>
          <w:lang w:val="en-US" w:eastAsia="zh-CN"/>
        </w:rPr>
        <w:t>13</w:t>
      </w:r>
      <w:r>
        <w:rPr>
          <w:bCs w:val="0"/>
          <w:color w:val="auto"/>
        </w:rPr>
        <w:t>,</w:t>
      </w:r>
      <w:r>
        <w:rPr>
          <w:rFonts w:hint="eastAsia"/>
          <w:bCs w:val="0"/>
          <w:color w:val="auto"/>
        </w:rPr>
        <w:t>000</w:t>
      </w:r>
      <w:r>
        <w:rPr>
          <w:bCs w:val="0"/>
          <w:color w:val="auto"/>
        </w:rPr>
        <w:t>万元，调整</w:t>
      </w:r>
      <w:r>
        <w:rPr>
          <w:rFonts w:hint="eastAsia"/>
          <w:bCs w:val="0"/>
          <w:color w:val="auto"/>
        </w:rPr>
        <w:t>为</w:t>
      </w:r>
      <w:r>
        <w:rPr>
          <w:bCs w:val="0"/>
          <w:color w:val="auto"/>
        </w:rPr>
        <w:t>同比</w:t>
      </w:r>
      <w:r>
        <w:rPr>
          <w:rFonts w:hint="eastAsia"/>
          <w:bCs w:val="0"/>
          <w:color w:val="auto"/>
          <w:lang w:eastAsia="zh-CN"/>
        </w:rPr>
        <w:t>下降</w:t>
      </w:r>
      <w:r>
        <w:rPr>
          <w:rFonts w:hint="eastAsia"/>
          <w:bCs w:val="0"/>
          <w:color w:val="auto"/>
          <w:lang w:val="en-US" w:eastAsia="zh-CN"/>
        </w:rPr>
        <w:t>17.6</w:t>
      </w:r>
      <w:r>
        <w:rPr>
          <w:bCs w:val="0"/>
          <w:color w:val="auto"/>
        </w:rPr>
        <w:t>%</w:t>
      </w:r>
      <w:r>
        <w:rPr>
          <w:rFonts w:hint="eastAsia"/>
          <w:bCs w:val="0"/>
          <w:color w:val="auto"/>
        </w:rPr>
        <w:t>。</w:t>
      </w:r>
      <w:r>
        <w:rPr>
          <w:b/>
          <w:color w:val="auto"/>
        </w:rPr>
        <w:t>调整项目</w:t>
      </w:r>
      <w:r>
        <w:rPr>
          <w:rFonts w:hint="eastAsia"/>
          <w:b/>
          <w:color w:val="auto"/>
        </w:rPr>
        <w:t>为</w:t>
      </w:r>
      <w:r>
        <w:rPr>
          <w:color w:val="auto"/>
        </w:rPr>
        <w:t>：</w:t>
      </w:r>
      <w:r>
        <w:rPr>
          <w:rFonts w:hint="eastAsia"/>
          <w:color w:val="auto"/>
        </w:rPr>
        <w:t>其他地方自行试点项目收益专项债券收入安排的支出</w:t>
      </w:r>
      <w:r>
        <w:rPr>
          <w:color w:val="auto"/>
        </w:rPr>
        <w:t>由</w:t>
      </w:r>
      <w:r>
        <w:rPr>
          <w:rFonts w:hint="eastAsia"/>
          <w:color w:val="auto"/>
          <w:lang w:val="en-US" w:eastAsia="zh-CN"/>
        </w:rPr>
        <w:t>5,000</w:t>
      </w:r>
      <w:r>
        <w:rPr>
          <w:color w:val="auto"/>
        </w:rPr>
        <w:t>万元调整为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,000</w:t>
      </w:r>
      <w:r>
        <w:rPr>
          <w:color w:val="auto"/>
        </w:rPr>
        <w:t>万元，比年初预算</w:t>
      </w:r>
      <w:r>
        <w:rPr>
          <w:rFonts w:hint="eastAsia"/>
          <w:color w:val="auto"/>
        </w:rPr>
        <w:t>调增1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,000</w:t>
      </w:r>
      <w:r>
        <w:rPr>
          <w:color w:val="auto"/>
        </w:rPr>
        <w:t>万元，调整</w:t>
      </w:r>
      <w:r>
        <w:rPr>
          <w:rFonts w:hint="eastAsia"/>
          <w:color w:val="auto"/>
        </w:rPr>
        <w:t>为</w:t>
      </w:r>
      <w:r>
        <w:rPr>
          <w:rFonts w:hint="eastAsia"/>
          <w:color w:val="auto"/>
          <w:lang w:eastAsia="zh-CN"/>
        </w:rPr>
        <w:t>同比下降</w:t>
      </w:r>
      <w:r>
        <w:rPr>
          <w:rFonts w:hint="eastAsia"/>
          <w:color w:val="auto"/>
          <w:lang w:val="en-US" w:eastAsia="zh-CN"/>
        </w:rPr>
        <w:t>7.7</w:t>
      </w:r>
      <w:r>
        <w:rPr>
          <w:color w:val="auto"/>
        </w:rPr>
        <w:t>%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此次</w:t>
      </w:r>
      <w:r>
        <w:rPr>
          <w:rFonts w:hint="eastAsia"/>
          <w:color w:val="auto"/>
        </w:rPr>
        <w:t>新增债券转贷资金</w:t>
      </w:r>
      <w:r>
        <w:rPr>
          <w:rFonts w:hint="eastAsia"/>
          <w:color w:val="auto"/>
          <w:lang w:eastAsia="zh-CN"/>
        </w:rPr>
        <w:t>计划</w:t>
      </w:r>
      <w:r>
        <w:rPr>
          <w:rFonts w:hint="eastAsia"/>
          <w:color w:val="auto"/>
        </w:rPr>
        <w:t>用于</w:t>
      </w:r>
      <w:r>
        <w:rPr>
          <w:rFonts w:hint="eastAsia"/>
          <w:color w:val="auto"/>
          <w:lang w:eastAsia="zh-CN"/>
        </w:rPr>
        <w:t>广东省珠海市高新区产业园区基础设施提升完善项目、广东省珠海市高新技术产业开发区唐家湾旧镇区改造升级项目</w:t>
      </w:r>
      <w:r>
        <w:rPr>
          <w:rFonts w:hint="eastAsia"/>
          <w:color w:val="auto"/>
        </w:rPr>
        <w:t>。</w:t>
      </w:r>
    </w:p>
    <w:p>
      <w:pPr>
        <w:spacing w:line="579" w:lineRule="exact"/>
        <w:ind w:firstLine="643" w:firstLineChars="200"/>
        <w:rPr>
          <w:rFonts w:hint="eastAsia"/>
          <w:b/>
        </w:rPr>
      </w:pPr>
      <w:r>
        <w:rPr>
          <w:b/>
        </w:rPr>
        <w:t>收支相抵，</w:t>
      </w:r>
      <w:r>
        <w:rPr>
          <w:rFonts w:hint="eastAsia"/>
          <w:b/>
          <w:bCs w:val="0"/>
          <w:lang w:val="en-US" w:eastAsia="zh-CN"/>
        </w:rPr>
        <w:t>2022</w:t>
      </w:r>
      <w:r>
        <w:rPr>
          <w:b/>
          <w:bCs w:val="0"/>
        </w:rPr>
        <w:t>年</w:t>
      </w:r>
      <w:r>
        <w:rPr>
          <w:b/>
        </w:rPr>
        <w:t>政府性基金</w:t>
      </w:r>
      <w:r>
        <w:rPr>
          <w:rFonts w:hint="eastAsia"/>
          <w:b/>
        </w:rPr>
        <w:t>类预算</w:t>
      </w:r>
      <w:r>
        <w:rPr>
          <w:b/>
        </w:rPr>
        <w:t>年终结余</w:t>
      </w:r>
      <w:r>
        <w:rPr>
          <w:rFonts w:hint="eastAsia"/>
          <w:b/>
        </w:rPr>
        <w:t>不变。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债务余额限额</w:t>
      </w:r>
      <w:r>
        <w:rPr>
          <w:rFonts w:eastAsia="黑体"/>
          <w:color w:val="auto"/>
        </w:rPr>
        <w:t>调整情况</w:t>
      </w:r>
    </w:p>
    <w:p>
      <w:pPr>
        <w:spacing w:line="579" w:lineRule="exact"/>
        <w:ind w:firstLine="643" w:firstLineChars="200"/>
        <w:rPr>
          <w:rFonts w:hint="eastAsia"/>
          <w:b/>
          <w:bCs w:val="0"/>
          <w:color w:val="auto"/>
          <w:lang w:val="en-US" w:eastAsia="zh-CN"/>
        </w:rPr>
      </w:pPr>
      <w:r>
        <w:rPr>
          <w:rFonts w:hint="eastAsia"/>
          <w:b/>
          <w:bCs w:val="0"/>
          <w:color w:val="auto"/>
        </w:rPr>
        <w:t>202</w:t>
      </w:r>
      <w:r>
        <w:rPr>
          <w:rFonts w:hint="eastAsia"/>
          <w:b/>
          <w:bCs w:val="0"/>
          <w:color w:val="auto"/>
          <w:lang w:val="en-US" w:eastAsia="zh-CN"/>
        </w:rPr>
        <w:t>1</w:t>
      </w:r>
      <w:r>
        <w:rPr>
          <w:rFonts w:hint="eastAsia"/>
          <w:b/>
          <w:bCs w:val="0"/>
          <w:color w:val="auto"/>
        </w:rPr>
        <w:t>年政府</w:t>
      </w:r>
      <w:r>
        <w:rPr>
          <w:rFonts w:hint="eastAsia"/>
          <w:b/>
          <w:bCs w:val="0"/>
          <w:color w:val="auto"/>
          <w:lang w:eastAsia="zh-CN"/>
        </w:rPr>
        <w:t>专项债务</w:t>
      </w:r>
      <w:r>
        <w:rPr>
          <w:rFonts w:hint="eastAsia"/>
          <w:b/>
          <w:bCs w:val="0"/>
          <w:color w:val="auto"/>
        </w:rPr>
        <w:t>限额</w:t>
      </w:r>
      <w:r>
        <w:rPr>
          <w:rFonts w:hint="eastAsia"/>
          <w:b/>
          <w:bCs w:val="0"/>
          <w:color w:val="auto"/>
          <w:lang w:eastAsia="zh-CN"/>
        </w:rPr>
        <w:t>由</w:t>
      </w:r>
      <w:r>
        <w:rPr>
          <w:rFonts w:hint="eastAsia"/>
          <w:b/>
          <w:bCs w:val="0"/>
          <w:color w:val="auto"/>
          <w:lang w:val="en-US" w:eastAsia="zh-CN"/>
        </w:rPr>
        <w:t>202,000万元调整为193,500万元。</w:t>
      </w:r>
    </w:p>
    <w:p>
      <w:pPr>
        <w:spacing w:line="579" w:lineRule="exact"/>
        <w:ind w:firstLine="640" w:firstLineChars="200"/>
        <w:rPr>
          <w:color w:val="auto"/>
        </w:rPr>
      </w:pPr>
      <w:bookmarkStart w:id="0" w:name="_GoBack"/>
      <w:bookmarkEnd w:id="0"/>
    </w:p>
    <w:p>
      <w:pPr>
        <w:spacing w:line="579" w:lineRule="exact"/>
        <w:ind w:firstLine="640" w:firstLineChars="200"/>
        <w:rPr>
          <w:color w:val="auto"/>
        </w:rPr>
      </w:pPr>
    </w:p>
    <w:p>
      <w:pPr>
        <w:spacing w:line="579" w:lineRule="exact"/>
        <w:ind w:left="1600" w:leftChars="200" w:hanging="960" w:hangingChars="300"/>
        <w:rPr>
          <w:rFonts w:hint="eastAsia" w:eastAsia="仿宋_GB2312"/>
          <w:color w:val="auto"/>
          <w:lang w:val="en-US" w:eastAsia="zh-CN"/>
        </w:rPr>
      </w:pPr>
      <w:r>
        <w:rPr>
          <w:color w:val="auto"/>
        </w:rPr>
        <w:t>附件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1.高新区提前下达2022年新增债券待发行项目调整情况表</w:t>
      </w:r>
    </w:p>
    <w:p>
      <w:pPr>
        <w:spacing w:line="579" w:lineRule="exact"/>
        <w:ind w:firstLine="1600" w:firstLineChars="500"/>
        <w:rPr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.</w:t>
      </w:r>
      <w:r>
        <w:rPr>
          <w:rFonts w:hint="eastAsia"/>
          <w:color w:val="auto"/>
          <w:lang w:val="en-US" w:eastAsia="zh-CN"/>
        </w:rPr>
        <w:t>2022</w:t>
      </w:r>
      <w:r>
        <w:rPr>
          <w:rFonts w:hint="eastAsia"/>
          <w:color w:val="auto"/>
        </w:rPr>
        <w:t>年高新区政府性基金预算收入调整表</w:t>
      </w:r>
    </w:p>
    <w:p>
      <w:pPr>
        <w:spacing w:line="579" w:lineRule="exact"/>
        <w:ind w:firstLine="1600" w:firstLineChars="5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.</w:t>
      </w:r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年高新区政府性基金预算支出调整表</w:t>
      </w:r>
    </w:p>
    <w:p>
      <w:pPr>
        <w:spacing w:line="579" w:lineRule="exact"/>
        <w:ind w:firstLine="1600" w:firstLineChars="500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4.2022年高新区政府债务余额和限额调整表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C88F"/>
    <w:multiLevelType w:val="singleLevel"/>
    <w:tmpl w:val="0E0EC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663AC"/>
    <w:rsid w:val="12276403"/>
    <w:rsid w:val="17AB30DF"/>
    <w:rsid w:val="1C99481B"/>
    <w:rsid w:val="299128CC"/>
    <w:rsid w:val="2A1663AC"/>
    <w:rsid w:val="389E42A3"/>
    <w:rsid w:val="44265369"/>
    <w:rsid w:val="59D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2022-03-01T07:58:00Z</dcterms:created>
  <dc:creator>杨晴</dc:creator>
  <cp:lastModifiedBy>Meow</cp:lastModifiedBy>
  <dcterms:modified xsi:type="dcterms:W3CDTF">2022-04-28T02:53:47Z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