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32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珠海高新区第七届“菁牛汇”创新创业大赛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企业组</w:t>
      </w: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vertAlign w:val="baseline"/>
          <w:lang w:val="en-US" w:eastAsia="zh-CN"/>
        </w:rPr>
        <w:t>获奖项目名单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  <w:t>企业组（新一代信息技术）</w:t>
      </w:r>
    </w:p>
    <w:tbl>
      <w:tblPr>
        <w:tblStyle w:val="5"/>
        <w:tblpPr w:leftFromText="180" w:rightFromText="180" w:vertAnchor="text" w:horzAnchor="page" w:tblpX="1573" w:tblpY="131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022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奖项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面向超高清8K应用的显示驱动芯片研发项目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艾德硅光项目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极大规模集成电路在线光学检测装备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三等奖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实时VR 3D一体式相机&amp;解决方案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三等奖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MEMS光开关项目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三等奖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超高性能超高功率密度芯片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  <w:t>企业组（生物医药与医疗器械）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573" w:tblpY="131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022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奖项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互联网+血压管理建设方案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防治慢性肾病肾功能衰退生物新药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复合高分子聚合物带瓣管道的研发与转化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三等奖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CT核心芯片研发及产业化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三等奖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内生菌——重塑农业未来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三等奖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断骨粘接剂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caps w:val="0"/>
          <w:color w:val="auto"/>
          <w:spacing w:val="0"/>
          <w:sz w:val="40"/>
          <w:szCs w:val="40"/>
          <w:shd w:val="clear" w:color="auto" w:fill="FFFFFF"/>
          <w:vertAlign w:val="baseline"/>
          <w:lang w:val="en-US" w:eastAsia="zh-CN"/>
        </w:rPr>
        <w:t>企业组（智能制造）</w:t>
      </w:r>
    </w:p>
    <w:tbl>
      <w:tblPr>
        <w:tblStyle w:val="5"/>
        <w:tblpPr w:leftFromText="180" w:rightFromText="180" w:vertAnchor="text" w:horzAnchor="page" w:tblpX="1573" w:tblpY="131"/>
        <w:tblOverlap w:val="never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2022"/>
        <w:gridCol w:w="6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奖项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一等奖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智能电致变色材料及相关产品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激光诱导荧光雷达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二等奖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高频高速新材料的开发与产业化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三等奖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全新协作型无人叉车机器人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三等奖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无组织排放污染空气治理智能装备项目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0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三等奖</w:t>
            </w:r>
          </w:p>
        </w:tc>
        <w:tc>
          <w:tcPr>
            <w:tcW w:w="6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auto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工业设备智能预测性维护平台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A6B0DA8A-DDDA-456E-9063-F68DC63A3A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D8039BD-A684-4AE5-A497-02F348F7C2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77D56083"/>
    <w:rsid w:val="15202346"/>
    <w:rsid w:val="20BF0C96"/>
    <w:rsid w:val="29171855"/>
    <w:rsid w:val="3187506D"/>
    <w:rsid w:val="563B1ED4"/>
    <w:rsid w:val="5A862A6F"/>
    <w:rsid w:val="5B045F6D"/>
    <w:rsid w:val="77D5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Indent"/>
    <w:basedOn w:val="1"/>
    <w:unhideWhenUsed/>
    <w:qFormat/>
    <w:uiPriority w:val="99"/>
    <w:pPr>
      <w:adjustRightInd w:val="0"/>
      <w:outlineLvl w:val="0"/>
    </w:p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2</Pages>
  <Words>384</Words>
  <Characters>392</Characters>
  <Lines>0</Lines>
  <Paragraphs>0</Paragraphs>
  <TotalTime>20</TotalTime>
  <ScaleCrop>false</ScaleCrop>
  <LinksUpToDate>false</LinksUpToDate>
  <CharactersWithSpaces>393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2022-02-11T06:58:00Z</dcterms:created>
  <dc:creator>正在打字的树袋熊</dc:creator>
  <cp:lastModifiedBy>正在打字的树袋熊</cp:lastModifiedBy>
  <dcterms:modified xsi:type="dcterms:W3CDTF">2023-04-14T07:41:06Z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BD6DBAE33CD84BAA97450380CAF94651</vt:lpwstr>
  </property>
</Properties>
</file>