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200" w:lineRule="exact"/>
        <w:rPr>
          <w:sz w:val="24"/>
          <w:szCs w:val="24"/>
        </w:rPr>
      </w:pPr>
      <w:bookmarkStart w:id="7" w:name="_GoBack"/>
      <w:bookmarkEnd w:id="7"/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31" w:lineRule="exact"/>
        <w:jc w:val="center"/>
        <w:rPr>
          <w:sz w:val="24"/>
          <w:szCs w:val="24"/>
        </w:rPr>
      </w:pPr>
    </w:p>
    <w:p>
      <w:pPr>
        <w:spacing w:line="502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珠海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高新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区</w:t>
      </w:r>
      <w:r>
        <w:rPr>
          <w:rFonts w:ascii="宋体" w:hAnsi="宋体" w:eastAsia="宋体" w:cs="宋体"/>
          <w:b/>
          <w:bCs/>
          <w:sz w:val="44"/>
          <w:szCs w:val="44"/>
        </w:rPr>
        <w:t>电动汽车充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（换）</w:t>
      </w:r>
      <w:r>
        <w:rPr>
          <w:rFonts w:ascii="宋体" w:hAnsi="宋体" w:eastAsia="宋体" w:cs="宋体"/>
          <w:b/>
          <w:bCs/>
          <w:sz w:val="44"/>
          <w:szCs w:val="44"/>
        </w:rPr>
        <w:t>电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基础</w:t>
      </w:r>
      <w:r>
        <w:rPr>
          <w:rFonts w:ascii="宋体" w:hAnsi="宋体" w:eastAsia="宋体" w:cs="宋体"/>
          <w:b/>
          <w:bCs/>
          <w:sz w:val="44"/>
          <w:szCs w:val="44"/>
        </w:rPr>
        <w:t>设施</w:t>
      </w:r>
    </w:p>
    <w:p>
      <w:pPr>
        <w:spacing w:line="502" w:lineRule="exact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申请专项补贴资金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现场</w:t>
      </w:r>
      <w:r>
        <w:rPr>
          <w:rFonts w:ascii="宋体" w:hAnsi="宋体" w:eastAsia="宋体" w:cs="宋体"/>
          <w:b/>
          <w:bCs/>
          <w:sz w:val="44"/>
          <w:szCs w:val="44"/>
        </w:rPr>
        <w:t>核查报告</w:t>
      </w:r>
    </w:p>
    <w:p>
      <w:pPr>
        <w:spacing w:line="272" w:lineRule="exact"/>
        <w:rPr>
          <w:sz w:val="24"/>
          <w:szCs w:val="24"/>
        </w:rPr>
      </w:pPr>
    </w:p>
    <w:p>
      <w:pPr>
        <w:spacing w:line="272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Style w:val="11"/>
          <w:rFonts w:hint="eastAsia" w:ascii="仿宋" w:hAnsi="仿宋" w:eastAsia="仿宋" w:cs="仿宋"/>
          <w:color w:val="FF0000"/>
          <w:sz w:val="24"/>
          <w:szCs w:val="24"/>
          <w:lang w:val="en-US" w:eastAsia="zh-CN" w:bidi="ar"/>
        </w:rPr>
        <w:t>2022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年度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>
      <w:pPr>
        <w:spacing w:line="272" w:lineRule="exact"/>
        <w:rPr>
          <w:sz w:val="24"/>
          <w:szCs w:val="24"/>
        </w:rPr>
      </w:pPr>
    </w:p>
    <w:p>
      <w:pPr>
        <w:spacing w:line="272" w:lineRule="exact"/>
        <w:rPr>
          <w:sz w:val="24"/>
          <w:szCs w:val="24"/>
        </w:rPr>
      </w:pPr>
    </w:p>
    <w:p>
      <w:pPr>
        <w:spacing w:line="272" w:lineRule="exact"/>
        <w:rPr>
          <w:sz w:val="24"/>
          <w:szCs w:val="24"/>
        </w:rPr>
      </w:pPr>
    </w:p>
    <w:p>
      <w:pPr>
        <w:spacing w:line="272" w:lineRule="exact"/>
        <w:rPr>
          <w:sz w:val="24"/>
          <w:szCs w:val="24"/>
        </w:rPr>
      </w:pPr>
    </w:p>
    <w:p>
      <w:pPr>
        <w:spacing w:line="272" w:lineRule="exact"/>
        <w:rPr>
          <w:sz w:val="24"/>
          <w:szCs w:val="24"/>
        </w:rPr>
      </w:pPr>
    </w:p>
    <w:p>
      <w:pPr>
        <w:spacing w:line="272" w:lineRule="exact"/>
        <w:rPr>
          <w:rFonts w:hint="eastAsia"/>
          <w:sz w:val="24"/>
          <w:szCs w:val="24"/>
        </w:rPr>
      </w:pPr>
    </w:p>
    <w:p>
      <w:pPr>
        <w:spacing w:line="390" w:lineRule="exact"/>
        <w:ind w:right="-533"/>
        <w:jc w:val="center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cs="宋体" w:asciiTheme="majorEastAsia" w:hAnsiTheme="majorEastAsia" w:eastAsiaTheme="majorEastAsia"/>
          <w:color w:val="000000"/>
          <w:sz w:val="32"/>
          <w:szCs w:val="32"/>
        </w:rPr>
        <w:t>申报单位：</w:t>
      </w:r>
      <w:r>
        <w:rPr>
          <w:rFonts w:asciiTheme="majorEastAsia" w:hAnsiTheme="majorEastAsia" w:eastAsiaTheme="majorEastAsia"/>
          <w:color w:val="FF000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  <w:lang w:val="en-US" w:eastAsia="zh-CN"/>
        </w:rPr>
        <w:t>XXXXXXXXXXXXXXXXXX</w:t>
      </w:r>
      <w:r>
        <w:rPr>
          <w:rFonts w:cs="宋体" w:asciiTheme="majorEastAsia" w:hAnsiTheme="majorEastAsia" w:eastAsiaTheme="majorEastAsia"/>
          <w:color w:val="FF0000"/>
          <w:sz w:val="32"/>
          <w:szCs w:val="32"/>
        </w:rPr>
        <w:t>公司</w:t>
      </w:r>
    </w:p>
    <w:p>
      <w:pPr>
        <w:spacing w:line="247" w:lineRule="exac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78" w:lineRule="exact"/>
        <w:ind w:right="-533" w:firstLine="2170" w:firstLineChars="700"/>
        <w:jc w:val="both"/>
        <w:rPr>
          <w:rFonts w:hint="default" w:asciiTheme="majorEastAsia" w:hAnsiTheme="majorEastAsia" w:eastAsiaTheme="majorEastAsia"/>
          <w:sz w:val="20"/>
          <w:szCs w:val="20"/>
          <w:lang w:val="en-US" w:eastAsia="zh-CN"/>
        </w:rPr>
      </w:pPr>
      <w:r>
        <w:rPr>
          <w:rFonts w:cs="宋体" w:asciiTheme="majorEastAsia" w:hAnsiTheme="majorEastAsia" w:eastAsiaTheme="majorEastAsia"/>
          <w:color w:val="000000"/>
          <w:sz w:val="31"/>
          <w:szCs w:val="31"/>
        </w:rPr>
        <w:t>项目名称：</w:t>
      </w:r>
      <w:r>
        <w:rPr>
          <w:rFonts w:hint="eastAsia" w:cs="宋体" w:asciiTheme="majorEastAsia" w:hAnsiTheme="majorEastAsia" w:eastAsiaTheme="majorEastAsia"/>
          <w:color w:val="000000"/>
          <w:sz w:val="31"/>
          <w:szCs w:val="3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FF0000"/>
          <w:sz w:val="32"/>
          <w:szCs w:val="32"/>
          <w:lang w:val="en-US" w:eastAsia="zh-CN"/>
        </w:rPr>
        <w:t>XXXXXXXXXXXXXXXXXX</w:t>
      </w:r>
    </w:p>
    <w:p>
      <w:pPr>
        <w:spacing w:line="200" w:lineRule="exac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00" w:lineRule="exac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57" w:lineRule="exact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5780"/>
        </w:tabs>
        <w:spacing w:line="763" w:lineRule="exact"/>
        <w:ind w:firstLine="1600" w:firstLineChars="500"/>
        <w:rPr>
          <w:rFonts w:cs="宋体" w:asciiTheme="majorEastAsia" w:hAnsiTheme="majorEastAsia" w:eastAsiaTheme="majorEastAsia"/>
          <w:sz w:val="33"/>
          <w:szCs w:val="33"/>
        </w:rPr>
      </w:pPr>
      <w:r>
        <w:rPr>
          <w:rFonts w:cs="宋体" w:asciiTheme="majorEastAsia" w:hAnsiTheme="majorEastAsia" w:eastAsiaTheme="majorEastAsia"/>
          <w:sz w:val="32"/>
          <w:szCs w:val="32"/>
        </w:rPr>
        <w:t>核查性质：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sym w:font="Wingdings 2" w:char="0052"/>
      </w:r>
      <w:r>
        <w:rPr>
          <w:rFonts w:cs="宋体" w:asciiTheme="majorEastAsia" w:hAnsiTheme="majorEastAsia" w:eastAsiaTheme="majorEastAsia"/>
          <w:sz w:val="32"/>
          <w:szCs w:val="32"/>
        </w:rPr>
        <w:t>建设补贴核查</w:t>
      </w:r>
      <w:r>
        <w:rPr>
          <w:rFonts w:hint="eastAsia" w:cs="宋体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cs="宋体" w:asciiTheme="majorEastAsia" w:hAnsiTheme="majorEastAsia" w:eastAsiaTheme="majorEastAsia"/>
          <w:sz w:val="33"/>
          <w:szCs w:val="33"/>
        </w:rPr>
        <w:t>□</w:t>
      </w:r>
      <w:r>
        <w:rPr>
          <w:rFonts w:cs="宋体" w:asciiTheme="majorEastAsia" w:hAnsiTheme="majorEastAsia" w:eastAsiaTheme="majorEastAsia"/>
          <w:sz w:val="33"/>
          <w:szCs w:val="33"/>
        </w:rPr>
        <w:t>运营补贴核查</w:t>
      </w:r>
    </w:p>
    <w:p>
      <w:pPr>
        <w:tabs>
          <w:tab w:val="left" w:pos="5780"/>
        </w:tabs>
        <w:spacing w:line="763" w:lineRule="exact"/>
        <w:ind w:firstLine="1000" w:firstLineChars="500"/>
        <w:rPr>
          <w:rFonts w:hint="eastAsia"/>
          <w:sz w:val="20"/>
          <w:szCs w:val="20"/>
        </w:rPr>
      </w:pPr>
    </w:p>
    <w:p>
      <w:pPr>
        <w:spacing w:line="2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78" w:lineRule="exact"/>
        <w:ind w:right="-533"/>
        <w:jc w:val="center"/>
        <w:rPr>
          <w:rFonts w:cs="宋体" w:asciiTheme="majorEastAsia" w:hAnsiTheme="majorEastAsia" w:eastAsiaTheme="majorEastAsia"/>
          <w:color w:val="000000"/>
          <w:sz w:val="31"/>
          <w:szCs w:val="31"/>
        </w:rPr>
      </w:pPr>
    </w:p>
    <w:p>
      <w:pPr>
        <w:spacing w:line="378" w:lineRule="exact"/>
        <w:ind w:right="-533" w:firstLine="2170" w:firstLineChars="700"/>
        <w:jc w:val="both"/>
        <w:rPr>
          <w:rFonts w:hint="default" w:cs="宋体" w:asciiTheme="majorEastAsia" w:hAnsiTheme="majorEastAsia" w:eastAsiaTheme="majorEastAsia"/>
          <w:color w:val="000000"/>
          <w:sz w:val="31"/>
          <w:szCs w:val="31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31"/>
          <w:szCs w:val="31"/>
          <w:lang w:val="en-US" w:eastAsia="zh-CN"/>
        </w:rPr>
        <w:t>核查单位：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78" w:lineRule="exact"/>
        <w:ind w:right="-533"/>
        <w:jc w:val="center"/>
        <w:rPr>
          <w:rFonts w:hint="default" w:cs="宋体" w:asciiTheme="majorEastAsia" w:hAnsiTheme="majorEastAsia" w:eastAsiaTheme="majorEastAsia"/>
          <w:color w:val="000000"/>
          <w:sz w:val="31"/>
          <w:szCs w:val="31"/>
          <w:lang w:val="en-US" w:eastAsia="zh-CN"/>
        </w:rPr>
        <w:sectPr>
          <w:headerReference r:id="rId3" w:type="default"/>
          <w:pgSz w:w="11900" w:h="16838"/>
          <w:pgMar w:top="1103" w:right="1440" w:bottom="1440" w:left="1440" w:header="0" w:footer="0" w:gutter="0"/>
          <w:cols w:equalWidth="0" w:num="1">
            <w:col w:w="9026"/>
          </w:cols>
        </w:sectPr>
      </w:pPr>
      <w:r>
        <w:rPr>
          <w:rFonts w:hint="eastAsia" w:cs="宋体" w:asciiTheme="majorEastAsia" w:hAnsiTheme="majorEastAsia" w:eastAsiaTheme="majorEastAsia"/>
          <w:color w:val="000000"/>
          <w:sz w:val="31"/>
          <w:szCs w:val="31"/>
          <w:lang w:val="en-US" w:eastAsia="zh-CN"/>
        </w:rPr>
        <w:t>年     月    日</w:t>
      </w:r>
    </w:p>
    <w:p>
      <w:pPr>
        <w:rPr>
          <w:rFonts w:hint="eastAsia"/>
        </w:rPr>
        <w:sectPr>
          <w:pgSz w:w="11900" w:h="16838"/>
          <w:pgMar w:top="1103" w:right="1126" w:bottom="462" w:left="1140" w:header="0" w:footer="0" w:gutter="0"/>
          <w:cols w:equalWidth="0" w:num="1">
            <w:col w:w="9640"/>
          </w:cols>
        </w:sectPr>
      </w:pPr>
      <w:bookmarkStart w:id="0" w:name="page2"/>
      <w:bookmarkEnd w:id="0"/>
    </w:p>
    <w:p>
      <w:pPr>
        <w:spacing w:line="411" w:lineRule="exact"/>
        <w:ind w:right="20"/>
        <w:jc w:val="center"/>
        <w:rPr>
          <w:rFonts w:hint="eastAsia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现场</w:t>
      </w:r>
      <w:r>
        <w:rPr>
          <w:rFonts w:ascii="宋体" w:hAnsi="宋体" w:eastAsia="宋体" w:cs="宋体"/>
          <w:b/>
          <w:bCs/>
          <w:sz w:val="36"/>
          <w:szCs w:val="36"/>
        </w:rPr>
        <w:t>核查报告</w: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-1412240</wp:posOffset>
                </wp:positionV>
                <wp:extent cx="12065" cy="127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o:spt="1" style="position:absolute;left:0pt;margin-left:317.2pt;margin-top:-111.2pt;height:1pt;width:0.95pt;z-index:-251657216;mso-width-relative:page;mso-height-relative:page;" fillcolor="#000000" filled="t" stroked="f" coordsize="21600,21600" o:allowincell="f" o:gfxdata="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/dZ/l2gAAAA0BAAAPAAAAAAAAAAEAIAAAACIAAABkcnMvZG93&#10;bnJldi54bWxQSwECFAAUAAAACACHTuJAowF04YwBAAA3AwAADgAAAAAAAAABACAAAAApAQAAZHJz&#10;L2Uyb0RvYy54bWxQSwUGAAAAAAYABgBZAQAAJ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line="200" w:lineRule="exact"/>
        <w:rPr>
          <w:rFonts w:hint="eastAsia"/>
          <w:sz w:val="20"/>
          <w:szCs w:val="20"/>
        </w:rPr>
      </w:pPr>
    </w:p>
    <w:tbl>
      <w:tblPr>
        <w:tblStyle w:val="6"/>
        <w:tblW w:w="104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申报单位：</w:t>
            </w:r>
          </w:p>
        </w:tc>
        <w:tc>
          <w:tcPr>
            <w:tcW w:w="8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*******************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项目名称：</w:t>
            </w:r>
          </w:p>
        </w:tc>
        <w:tc>
          <w:tcPr>
            <w:tcW w:w="8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*******************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现场情况：</w:t>
            </w:r>
          </w:p>
        </w:tc>
        <w:tc>
          <w:tcPr>
            <w:tcW w:w="8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站点地址：</w:t>
            </w: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*******************</w:t>
            </w:r>
          </w:p>
          <w:p>
            <w:pPr>
              <w:textAlignment w:val="center"/>
              <w:rPr>
                <w:rStyle w:val="10"/>
                <w:rFonts w:hint="default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本次核查充电设施总功率（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bidi="ar"/>
              </w:rPr>
              <w:t>kW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）：</w:t>
            </w: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******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，具体如下：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）</w:t>
            </w: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*****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kW 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的交流充电桩共</w:t>
            </w: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台；</w:t>
            </w:r>
          </w:p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bidi="ar"/>
              </w:rPr>
              <w:t>2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）</w:t>
            </w: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*****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kW 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的直流充电桩共</w:t>
            </w: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台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eastAsia="zh-CN" w:bidi="ar"/>
              </w:rPr>
              <w:t>；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3）</w:t>
            </w: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*****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kW 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eastAsia="zh-CN" w:bidi="ar"/>
              </w:rPr>
              <w:t>换电设施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共</w:t>
            </w: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t>台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eastAsia="zh-CN" w:bidi="ar"/>
              </w:rPr>
              <w:t>。</w:t>
            </w:r>
            <w:r>
              <w:rPr>
                <w:rStyle w:val="10"/>
                <w:rFonts w:ascii="仿宋" w:hAnsi="仿宋" w:eastAsia="仿宋" w:cs="仿宋"/>
                <w:sz w:val="24"/>
                <w:szCs w:val="24"/>
                <w:lang w:bidi="ar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核查依据</w:t>
            </w:r>
          </w:p>
        </w:tc>
        <w:tc>
          <w:tcPr>
            <w:tcW w:w="8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《关于申报2022年度电动汽车充电基础设施专项补贴资金的通知》　</w:t>
            </w:r>
          </w:p>
          <w:p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2. 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DBJ/T 15-150-2018 电动汽车充电基础设施建设技术规程</w:t>
            </w:r>
          </w:p>
          <w:p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  NB/T 33008-2013 电动汽车充电设备检验试验规范</w:t>
            </w:r>
          </w:p>
          <w:p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  NB/T 33001-2010 电动汽车非车载传导式充电机技术条件</w:t>
            </w:r>
          </w:p>
          <w:p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5. 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bidi="ar"/>
              </w:rPr>
              <w:t>NB/T33004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bidi="ar"/>
              </w:rPr>
              <w:t>电动汽车充换电设施工程施工和竣工验收规范</w:t>
            </w:r>
          </w:p>
          <w:p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6.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18487.1-2015 电动汽车传导充电系统</w:t>
            </w:r>
          </w:p>
          <w:p>
            <w:pPr>
              <w:ind w:left="480" w:hanging="480" w:hanging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7. 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GB/T 29781 电动汽车充电站通用要求</w:t>
            </w:r>
          </w:p>
          <w:p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8. 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GB/T 31525 图形标志 电动汽车充换电设施标志</w:t>
            </w:r>
          </w:p>
          <w:p>
            <w:pPr>
              <w:numPr>
                <w:ilvl w:val="0"/>
                <w:numId w:val="2"/>
              </w:num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 xml:space="preserve"> GB/T 20234-2015 电动汽车传导充电用连接装置</w:t>
            </w:r>
          </w:p>
          <w:p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GB 50966-2014 电动汽车充电站设计规范</w:t>
            </w:r>
          </w:p>
          <w:p>
            <w:pPr>
              <w:ind w:left="480" w:hanging="480" w:hanging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11.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GB 50067-2014 汽车库、修车库、停车场设计防火规范</w:t>
            </w:r>
          </w:p>
          <w:p>
            <w:pPr>
              <w:ind w:left="480" w:hanging="480" w:hangingChars="2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 GB 50254 电气装置安全工程低压电器施工及验收规范</w:t>
            </w:r>
          </w:p>
          <w:p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13. 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GB 50034 低压配电设计规范</w:t>
            </w:r>
          </w:p>
          <w:p>
            <w:pPr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 xml:space="preserve"> GB 50575 1kV及以下配线工程施工与验收规范</w:t>
            </w:r>
          </w:p>
          <w:p>
            <w:pPr>
              <w:ind w:left="480" w:hanging="480" w:hanging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DL 5027-2015 电力设备典型消防规程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核查结论</w:t>
            </w:r>
          </w:p>
        </w:tc>
        <w:tc>
          <w:tcPr>
            <w:tcW w:w="8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现场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核查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人员（签名）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：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                 </w:t>
            </w:r>
          </w:p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日期：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 年   月   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br w:type="textWrapping"/>
            </w:r>
          </w:p>
          <w:p>
            <w:pPr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企业负责人（签名）：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  日期：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  年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br w:type="textWrapping"/>
            </w:r>
          </w:p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200" w:lineRule="exact"/>
        <w:rPr>
          <w:rFonts w:hint="eastAsia"/>
          <w:sz w:val="20"/>
          <w:szCs w:val="20"/>
        </w:rPr>
      </w:pPr>
    </w:p>
    <w:tbl>
      <w:tblPr>
        <w:tblStyle w:val="6"/>
        <w:tblW w:w="1032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630"/>
        <w:gridCol w:w="5257"/>
        <w:gridCol w:w="813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5E5E5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一、申报资料检查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32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5E5E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核查内容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核查情况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项目情况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项目为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2022年度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建成投运的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位于高新辖区内，且为对外服务的公共充（换）电设施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；未获过国家级、省级、市级财政补贴。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企业信息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项目申报单位具有独立法人资格，是充电基础设施建设项目的投资主体。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平台接入情况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申报企业已在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粤海充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珠海充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进行企业信息录入；申报充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（换）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电基础设施已接入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粤海充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珠海充，并取得相关证明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项目情况表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申报项目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 xml:space="preserve">与《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珠海高新区2022年度电动汽车充（换）电基础设施建设情况表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 w:bidi="ar"/>
              </w:rPr>
              <w:t>》各项内容一致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。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功率证明材料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充电基础设施额定输出功率或换电站装机容量证明材料真实有效，与申报材料一致。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型式试验报告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检验检测机构出具的充电基础设施产品带有 CMA 或 CNAS标识的标准符合型合格报告真实有效；检测依据标准、测试项目齐全；检测报告中设备型号与申报场站设备一致等。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验收报告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内容完整，真实有效，数据齐全，且符合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核查依据相关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标准要求。</w:t>
            </w:r>
          </w:p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已进行用电报装的充电设施，须取得珠海供电部门受电竣工检验合格书。）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真实性承诺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承诺资料真实有效；与申报项目符合，不存在弄虚作假。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站点形象照片</w:t>
            </w:r>
          </w:p>
        </w:tc>
        <w:tc>
          <w:tcPr>
            <w:tcW w:w="5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站点照片清晰完整，与申报项目符合。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符号“Y”表示“符合或通过”，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符号“N”表示“不符合或不通过”。</w:t>
            </w:r>
          </w:p>
        </w:tc>
      </w:tr>
    </w:tbl>
    <w:p>
      <w:pPr>
        <w:spacing w:line="121" w:lineRule="exact"/>
        <w:rPr>
          <w:rFonts w:hint="eastAsia"/>
          <w:sz w:val="20"/>
          <w:szCs w:val="20"/>
        </w:rPr>
      </w:pPr>
      <w:bookmarkStart w:id="1" w:name="page4"/>
      <w:bookmarkEnd w:id="1"/>
    </w:p>
    <w:tbl>
      <w:tblPr>
        <w:tblStyle w:val="6"/>
        <w:tblW w:w="1032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96"/>
        <w:gridCol w:w="5795"/>
        <w:gridCol w:w="1159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E5E5E5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二、现场核查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地址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：</w:t>
            </w: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*******************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（一）项目总体核查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核查内容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核查情况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场站信息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项目站点信息与申报材料一致（包括：地址、充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总容量、充电设备数量、配电端容量等情况）；项目未获过国家级、省级、市级财政补贴。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型式试验报告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检测报告中设备与现场设备一致（包括：设备型号、外观、内部结构、关键元器件清单）。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验收报告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验收报告与现场一致（包括：场站规划设计、供配电系统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受电报告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、充电系统、消防、安监、土建及配套等）。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如有则提供。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设备功率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额定输出功率或换电站装机容量与申报材料一致（包括：核查模块数量、模块功率等）。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运维管理情况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运营企业已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落实安全生产主体责任，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建立安全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生产责任制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对站场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进行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危险有害因素的识别并有效张贴标识；站场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定期安全检查，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形成记录；运维人员具备相应资质（至少有一名运维人员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持有特种作业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电工上岗证）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站址选择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站址选择合理（不在地势低洼、积水、剧烈振动或存在危险隐患的场所等），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站区布置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电气设备（充电装置、供配电设备）布置安装合理，具有有电危险等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安全标志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；站内具有充电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安全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操作流程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及现场紧急处置措施说明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；站内道路入口处、行车道、停车位等有车辆指引标识，站内道路满足消防及服务车辆通行的要求；停车位设置限位器或防撞栏等防撞措施。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（二）供电系统核查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核查内容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核查情况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供用电情况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充电场站具备用电合同或受电工程竣工检验意见书等文件，文件合理有效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箱式变压器安装设计符合标准。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配电端容量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配电端容量与接入充电设备的功率匹配。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设计安装合理性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站场布线规范、线径合规；断路器、漏电保护等装置设计安装合理合规；配电箱等设备防护等级合理；防雷接地等符合要求。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（三）充换电系统核查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核查内容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核查情况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铭牌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型号、额定电压、额定电流、额定功率、生产厂家、出厂编号等信息与申报项目、型式试验报告以及竣工验收报告一致。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基本构成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外观完整，无明显缺陷；零部件紧固可靠；无锈蚀裂伤等损伤；铭牌标识内容准确清晰，安装牢固；具有接地、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涉水线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警示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有电危险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安全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标志。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充电功能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充电功能正常，能够正常完成从充电开始、充电结束、结算等全部充电流程。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计量功能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具有对输出电能量的计量功能。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安全防护功能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充断电功能正常；接地、绝缘、漏电保护、防护等级等指标符合标准要求；锁止功能正常；急停功能正常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急停按钮符设计需符合GB 16754和GB19517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充电接口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充电接口完整，结构、尺寸符合标准要求。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（四）监控系统核查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核查内容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核查情况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2" w:firstLineChars="200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安防监控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能实现对充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视频监控、出入口控制等。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充电监控</w:t>
            </w:r>
          </w:p>
        </w:tc>
        <w:tc>
          <w:tcPr>
            <w:tcW w:w="5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能实现对充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（换）电基础设施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运行和充电过程的监视、控制以及数据的存储和管理（包括：充电桩的在线情况、数据实时监测）。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0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注：</w:t>
            </w:r>
          </w:p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符号</w:t>
            </w: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Y</w:t>
            </w: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表示</w:t>
            </w: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符合或通过</w:t>
            </w: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”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 w:bidi="ar"/>
              </w:rPr>
              <w:t>或“整改后通过”。</w:t>
            </w:r>
          </w:p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符号“N”表示“不符合或不通过”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。</w:t>
            </w:r>
          </w:p>
        </w:tc>
      </w:tr>
    </w:tbl>
    <w:p/>
    <w:p/>
    <w:p/>
    <w:p/>
    <w:p/>
    <w:p/>
    <w:p/>
    <w:p/>
    <w:p/>
    <w:p/>
    <w:p/>
    <w:p/>
    <w:p/>
    <w:p>
      <w:pPr>
        <w:sectPr>
          <w:type w:val="continuous"/>
          <w:pgSz w:w="11900" w:h="16838"/>
          <w:pgMar w:top="1103" w:right="846" w:bottom="462" w:left="860" w:header="0" w:footer="0" w:gutter="0"/>
          <w:cols w:equalWidth="0" w:num="1">
            <w:col w:w="10200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2" w:name="page5"/>
      <w:bookmarkEnd w:id="2"/>
    </w:p>
    <w:p>
      <w:pPr>
        <w:rPr>
          <w:rFonts w:hint="eastAsia"/>
          <w:b/>
          <w:bCs/>
          <w:sz w:val="28"/>
          <w:szCs w:val="28"/>
        </w:rPr>
        <w:sectPr>
          <w:pgSz w:w="11900" w:h="16838"/>
          <w:pgMar w:top="1103" w:right="846" w:bottom="462" w:left="860" w:header="0" w:footer="0" w:gutter="0"/>
          <w:cols w:equalWidth="0" w:num="1">
            <w:col w:w="10200"/>
          </w:cols>
        </w:sect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bidi="ar"/>
        </w:rPr>
        <w:t>（五）充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 w:bidi="ar"/>
        </w:rPr>
        <w:t>（换）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bidi="ar"/>
        </w:rPr>
        <w:t>电设备信息</w:t>
      </w:r>
    </w:p>
    <w:p>
      <w:pPr>
        <w:spacing w:line="200" w:lineRule="exact"/>
        <w:rPr>
          <w:rFonts w:hint="eastAsia"/>
          <w:sz w:val="20"/>
          <w:szCs w:val="20"/>
        </w:rPr>
      </w:pPr>
    </w:p>
    <w:tbl>
      <w:tblPr>
        <w:tblStyle w:val="6"/>
        <w:tblpPr w:leftFromText="180" w:rightFromText="180" w:vertAnchor="page" w:horzAnchor="page" w:tblpXSpec="center" w:tblpY="2041"/>
        <w:tblOverlap w:val="never"/>
        <w:tblW w:w="104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36"/>
        <w:gridCol w:w="1464"/>
        <w:gridCol w:w="1405"/>
        <w:gridCol w:w="1493"/>
        <w:gridCol w:w="2761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5E5E5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5E5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5E5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设备编号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5E5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规格</w:t>
            </w:r>
            <w:r>
              <w:rPr>
                <w:rFonts w:eastAsia="宋体"/>
                <w:b/>
                <w:bCs/>
                <w:color w:val="00000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5E5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5E5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 w:bidi="ar"/>
              </w:rPr>
              <w:t>厂家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5E5E5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数量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  <w:lang w:bidi="ar"/>
              </w:rPr>
              <w:t>（台）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***</w:t>
            </w: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等线" w:hAnsi="等线" w:eastAsia="等线" w:cs="等线"/>
                <w:color w:val="00000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lang w:bidi="ar"/>
              </w:rPr>
              <w:t>　</w:t>
            </w: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rPr>
          <w:rFonts w:hint="eastAsia"/>
        </w:rPr>
        <w:sectPr>
          <w:type w:val="continuous"/>
          <w:pgSz w:w="11900" w:h="16838"/>
          <w:pgMar w:top="1103" w:right="846" w:bottom="462" w:left="860" w:header="0" w:footer="0" w:gutter="0"/>
          <w:cols w:equalWidth="0" w:num="1">
            <w:col w:w="10200"/>
          </w:cols>
        </w:sectPr>
      </w:pPr>
    </w:p>
    <w:p>
      <w:pPr>
        <w:rPr>
          <w:rFonts w:hint="eastAsia"/>
        </w:rPr>
        <w:sectPr>
          <w:type w:val="continuous"/>
          <w:pgSz w:w="11900" w:h="16838"/>
          <w:pgMar w:top="1103" w:right="1066" w:bottom="462" w:left="1080" w:header="0" w:footer="0" w:gutter="0"/>
          <w:cols w:equalWidth="0" w:num="1">
            <w:col w:w="9760"/>
          </w:cols>
        </w:sectPr>
      </w:pPr>
      <w:bookmarkStart w:id="3" w:name="page6"/>
      <w:bookmarkEnd w:id="3"/>
    </w:p>
    <w:p>
      <w:pPr>
        <w:sectPr>
          <w:type w:val="continuous"/>
          <w:pgSz w:w="11900" w:h="16838"/>
          <w:pgMar w:top="1103" w:right="1166" w:bottom="462" w:left="1160" w:header="0" w:footer="0" w:gutter="0"/>
          <w:cols w:equalWidth="0" w:num="1">
            <w:col w:w="9580"/>
          </w:cols>
        </w:sectPr>
      </w:pPr>
      <w:bookmarkStart w:id="4" w:name="page7"/>
      <w:bookmarkEnd w:id="4"/>
    </w:p>
    <w:p>
      <w:pPr>
        <w:spacing w:line="20" w:lineRule="exact"/>
        <w:rPr>
          <w:sz w:val="20"/>
          <w:szCs w:val="20"/>
        </w:rPr>
      </w:pPr>
      <w:bookmarkStart w:id="5" w:name="page8"/>
      <w:bookmarkEnd w:id="5"/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rFonts w:hint="eastAsia"/>
          <w:sz w:val="20"/>
          <w:szCs w:val="20"/>
        </w:rPr>
      </w:pPr>
    </w:p>
    <w:tbl>
      <w:tblPr>
        <w:tblStyle w:val="6"/>
        <w:tblW w:w="99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7"/>
        <w:gridCol w:w="4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D8D8D8" w:themeFill="background1" w:themeFillShade="D9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、现场电气设备照片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sz w:val="21"/>
                <w:szCs w:val="21"/>
              </w:rPr>
              <w:t>（一）站场整体照片（</w:t>
            </w:r>
            <w:r>
              <w:rPr>
                <w:rFonts w:asciiTheme="majorEastAsia" w:hAnsiTheme="majorEastAsia" w:eastAsiaTheme="majorEastAsia"/>
                <w:b/>
                <w:bCs/>
                <w:color w:val="FF0000"/>
                <w:sz w:val="21"/>
                <w:szCs w:val="21"/>
              </w:rPr>
              <w:t xml:space="preserve">2-4 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FF0000"/>
                <w:sz w:val="21"/>
                <w:szCs w:val="21"/>
              </w:rPr>
              <w:t>张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  <w:jc w:val="center"/>
        </w:trPr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  <w:lang w:eastAsia="zh-CN"/>
              </w:rPr>
              <w:t>充（换）电基础设施远景照片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  <w:lang w:eastAsia="zh-CN"/>
              </w:rPr>
              <w:t>（能体现出充电桩数量）</w:t>
            </w:r>
            <w:r>
              <w:rPr>
                <w:rFonts w:hint="eastAsia" w:ascii="仿宋" w:hAnsi="仿宋" w:eastAsia="仿宋" w:cs="宋体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sz w:val="16"/>
                <w:szCs w:val="16"/>
              </w:rPr>
              <w:t>　</w:t>
            </w:r>
          </w:p>
        </w:tc>
      </w:tr>
    </w:tbl>
    <w:p>
      <w:pPr>
        <w:spacing w:line="252" w:lineRule="exact"/>
        <w:rPr>
          <w:rFonts w:hint="eastAsia"/>
          <w:sz w:val="20"/>
          <w:szCs w:val="20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4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（二）供配电系统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  <w:jc w:val="center"/>
        </w:trPr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配电箱正面</w:t>
            </w: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配电箱铭牌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配电箱内部</w:t>
            </w: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配电箱运行电压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6" w:hRule="atLeast"/>
          <w:jc w:val="center"/>
        </w:trPr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箱式变电站（或变压器）外部照片 （如有）</w:t>
            </w:r>
          </w:p>
        </w:tc>
        <w:tc>
          <w:tcPr>
            <w:tcW w:w="4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箱式变电站（或变压器）铭牌照片（如有）</w:t>
            </w:r>
          </w:p>
        </w:tc>
      </w:tr>
    </w:tbl>
    <w:p>
      <w:pPr>
        <w:spacing w:line="252" w:lineRule="exact"/>
        <w:rPr>
          <w:rFonts w:hint="eastAsia"/>
          <w:sz w:val="20"/>
          <w:szCs w:val="20"/>
        </w:rPr>
      </w:pPr>
    </w:p>
    <w:tbl>
      <w:tblPr>
        <w:tblStyle w:val="6"/>
        <w:tblW w:w="9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（三）充换电系统核查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9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充</w:t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  <w:lang w:eastAsia="zh-CN"/>
              </w:rPr>
              <w:t>（换）电基础设施</w:t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内部照片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9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充</w:t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  <w:lang w:eastAsia="zh-CN"/>
              </w:rPr>
              <w:t>（换）电基础设施</w:t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铭牌照片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9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模块照片</w:t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  <w:lang w:eastAsia="zh-CN"/>
              </w:rPr>
              <w:t>（能体现模块数量）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模块铭牌照片</w:t>
            </w:r>
          </w:p>
        </w:tc>
        <w:tc>
          <w:tcPr>
            <w:tcW w:w="4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模块铭牌照片</w:t>
            </w:r>
          </w:p>
        </w:tc>
      </w:tr>
    </w:tbl>
    <w:p>
      <w:pPr>
        <w:spacing w:line="252" w:lineRule="exact"/>
        <w:rPr>
          <w:rFonts w:hint="eastAsia"/>
          <w:sz w:val="20"/>
          <w:szCs w:val="20"/>
        </w:rPr>
      </w:pPr>
    </w:p>
    <w:p>
      <w:pPr>
        <w:pStyle w:val="2"/>
        <w:rPr>
          <w:rFonts w:hint="eastAsia"/>
          <w:sz w:val="20"/>
          <w:szCs w:val="20"/>
        </w:rPr>
      </w:pPr>
    </w:p>
    <w:p>
      <w:pPr>
        <w:rPr>
          <w:rFonts w:hint="eastAsia"/>
          <w:sz w:val="20"/>
          <w:szCs w:val="20"/>
        </w:rPr>
      </w:pPr>
    </w:p>
    <w:p>
      <w:pPr>
        <w:pStyle w:val="2"/>
        <w:rPr>
          <w:rFonts w:hint="eastAsia"/>
          <w:sz w:val="20"/>
          <w:szCs w:val="20"/>
        </w:rPr>
      </w:pPr>
    </w:p>
    <w:p>
      <w:pPr>
        <w:rPr>
          <w:rFonts w:hint="eastAsia"/>
          <w:sz w:val="20"/>
          <w:szCs w:val="20"/>
        </w:rPr>
      </w:pPr>
    </w:p>
    <w:p>
      <w:pPr>
        <w:pStyle w:val="2"/>
        <w:rPr>
          <w:rFonts w:hint="eastAsia"/>
          <w:sz w:val="20"/>
          <w:szCs w:val="20"/>
        </w:rPr>
      </w:pPr>
    </w:p>
    <w:p>
      <w:pPr>
        <w:rPr>
          <w:rFonts w:hint="eastAsia"/>
          <w:sz w:val="20"/>
          <w:szCs w:val="20"/>
        </w:rPr>
      </w:pPr>
    </w:p>
    <w:p>
      <w:pPr>
        <w:pStyle w:val="2"/>
        <w:rPr>
          <w:rFonts w:hint="eastAsia"/>
          <w:sz w:val="20"/>
          <w:szCs w:val="20"/>
        </w:rPr>
      </w:pPr>
    </w:p>
    <w:p>
      <w:pPr>
        <w:rPr>
          <w:rFonts w:hint="eastAsia"/>
          <w:sz w:val="20"/>
          <w:szCs w:val="20"/>
        </w:rPr>
      </w:pPr>
    </w:p>
    <w:p>
      <w:pPr>
        <w:pStyle w:val="2"/>
        <w:rPr>
          <w:rFonts w:hint="eastAsia"/>
          <w:sz w:val="20"/>
          <w:szCs w:val="20"/>
        </w:rPr>
      </w:pPr>
    </w:p>
    <w:p>
      <w:pPr>
        <w:rPr>
          <w:rFonts w:hint="eastAsia"/>
          <w:sz w:val="20"/>
          <w:szCs w:val="20"/>
        </w:rPr>
      </w:pPr>
    </w:p>
    <w:p>
      <w:pPr>
        <w:pStyle w:val="2"/>
        <w:rPr>
          <w:rFonts w:hint="eastAsia"/>
          <w:sz w:val="20"/>
          <w:szCs w:val="20"/>
        </w:rPr>
      </w:pPr>
    </w:p>
    <w:p>
      <w:pPr>
        <w:rPr>
          <w:rFonts w:hint="eastAsia"/>
          <w:sz w:val="20"/>
          <w:szCs w:val="20"/>
        </w:rPr>
      </w:pPr>
    </w:p>
    <w:p>
      <w:pPr>
        <w:pStyle w:val="2"/>
        <w:rPr>
          <w:rFonts w:hint="eastAsia"/>
          <w:sz w:val="20"/>
          <w:szCs w:val="20"/>
        </w:rPr>
      </w:pPr>
    </w:p>
    <w:p>
      <w:pPr>
        <w:rPr>
          <w:rFonts w:hint="eastAsia"/>
          <w:sz w:val="20"/>
          <w:szCs w:val="20"/>
        </w:rPr>
      </w:pPr>
    </w:p>
    <w:p>
      <w:pPr>
        <w:pStyle w:val="2"/>
        <w:rPr>
          <w:rFonts w:hint="eastAsia"/>
        </w:rPr>
      </w:pPr>
    </w:p>
    <w:tbl>
      <w:tblPr>
        <w:tblStyle w:val="6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（四）监控系统核查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（除国家规定的保密要求外提供）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  <w:jc w:val="center"/>
        </w:trPr>
        <w:tc>
          <w:tcPr>
            <w:tcW w:w="9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视频监控实时界面需要拍照（1张及以上，根据现场需要）</w:t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br w:type="textWrapping"/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充电监控实时界面需要拍照（1张及以上，根据现场需要）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（五）消防设施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配置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2" w:hRule="atLeast"/>
          <w:jc w:val="center"/>
        </w:trPr>
        <w:tc>
          <w:tcPr>
            <w:tcW w:w="9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消防器材、应急</w:t>
            </w:r>
          </w:p>
        </w:tc>
      </w:tr>
    </w:tbl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tbl>
      <w:tblPr>
        <w:tblStyle w:val="6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（六）其他重要信息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9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</w:rPr>
              <w:t>交流设备漏电保护器</w:t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  <w:lang w:val="en-US" w:eastAsia="zh-CN"/>
              </w:rPr>
              <w:t>电涌保护器</w:t>
            </w:r>
            <w:r>
              <w:rPr>
                <w:rFonts w:hint="eastAsia" w:ascii="仿宋" w:hAnsi="仿宋" w:eastAsia="仿宋" w:cs="宋体"/>
                <w:color w:val="FF0000"/>
                <w:sz w:val="16"/>
                <w:szCs w:val="16"/>
                <w:lang w:eastAsia="zh-CN"/>
              </w:rPr>
              <w:t>等</w:t>
            </w:r>
          </w:p>
        </w:tc>
      </w:tr>
    </w:tbl>
    <w:p>
      <w:pPr>
        <w:spacing w:line="252" w:lineRule="exact"/>
        <w:rPr>
          <w:sz w:val="20"/>
          <w:szCs w:val="20"/>
        </w:rPr>
      </w:pPr>
    </w:p>
    <w:p>
      <w:pPr>
        <w:spacing w:line="252" w:lineRule="exact"/>
        <w:rPr>
          <w:sz w:val="20"/>
          <w:szCs w:val="20"/>
        </w:rPr>
      </w:pPr>
    </w:p>
    <w:tbl>
      <w:tblPr>
        <w:tblStyle w:val="6"/>
        <w:tblW w:w="9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7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lightGray"/>
              </w:rPr>
              <w:t>四、问题汇总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问题 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7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问题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7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问题 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7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问题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7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问题 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7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</w:tbl>
    <w:p>
      <w:pPr>
        <w:spacing w:line="252" w:lineRule="exact"/>
        <w:rPr>
          <w:rFonts w:hint="eastAsia"/>
          <w:sz w:val="20"/>
          <w:szCs w:val="20"/>
        </w:rPr>
      </w:pPr>
    </w:p>
    <w:p>
      <w:pPr>
        <w:spacing w:line="20" w:lineRule="exact"/>
        <w:rPr>
          <w:sz w:val="20"/>
          <w:szCs w:val="20"/>
        </w:rPr>
      </w:pPr>
      <w:bookmarkStart w:id="6" w:name="page12"/>
      <w:bookmarkEnd w:id="6"/>
    </w:p>
    <w:sectPr>
      <w:type w:val="continuous"/>
      <w:pgSz w:w="11900" w:h="16838"/>
      <w:pgMar w:top="1103" w:right="1440" w:bottom="455" w:left="860" w:header="0" w:footer="0" w:gutter="0"/>
      <w:cols w:equalWidth="0" w:num="1">
        <w:col w:w="9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  <w:rPr>
        <w:rFonts w:hint="eastAsia" w:asciiTheme="majorEastAsia" w:hAnsiTheme="majorEastAsia" w:eastAsiaTheme="majorEastAsia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1571E"/>
    <w:multiLevelType w:val="singleLevel"/>
    <w:tmpl w:val="1CD1571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C0D891C"/>
    <w:multiLevelType w:val="singleLevel"/>
    <w:tmpl w:val="7C0D891C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mQxZjAyNWRmMjVjOWU5ZjEwZDc2OWM4MTMxY2QifQ=="/>
  </w:docVars>
  <w:rsids>
    <w:rsidRoot w:val="00441926"/>
    <w:rsid w:val="000863D5"/>
    <w:rsid w:val="0009280D"/>
    <w:rsid w:val="00131794"/>
    <w:rsid w:val="001F27FA"/>
    <w:rsid w:val="002E01C1"/>
    <w:rsid w:val="00441926"/>
    <w:rsid w:val="00683D9C"/>
    <w:rsid w:val="007533F2"/>
    <w:rsid w:val="00A27692"/>
    <w:rsid w:val="00DE5C39"/>
    <w:rsid w:val="00E34DFA"/>
    <w:rsid w:val="01657C13"/>
    <w:rsid w:val="0A856AC1"/>
    <w:rsid w:val="0C2C7A7D"/>
    <w:rsid w:val="0CAA0BCF"/>
    <w:rsid w:val="0D42705A"/>
    <w:rsid w:val="0E7E40C2"/>
    <w:rsid w:val="0EBD108E"/>
    <w:rsid w:val="10637A13"/>
    <w:rsid w:val="1122167C"/>
    <w:rsid w:val="12A16FAC"/>
    <w:rsid w:val="147134C3"/>
    <w:rsid w:val="149A777C"/>
    <w:rsid w:val="14CF178D"/>
    <w:rsid w:val="1AAC0209"/>
    <w:rsid w:val="1ADE505F"/>
    <w:rsid w:val="1B636B19"/>
    <w:rsid w:val="1B9E3FF5"/>
    <w:rsid w:val="1DA63635"/>
    <w:rsid w:val="1E6A4663"/>
    <w:rsid w:val="20A87431"/>
    <w:rsid w:val="22162B37"/>
    <w:rsid w:val="25CC175F"/>
    <w:rsid w:val="2D265BF9"/>
    <w:rsid w:val="2D92328E"/>
    <w:rsid w:val="31D64091"/>
    <w:rsid w:val="33D75E9F"/>
    <w:rsid w:val="342665B2"/>
    <w:rsid w:val="3529097C"/>
    <w:rsid w:val="357560A2"/>
    <w:rsid w:val="368A544A"/>
    <w:rsid w:val="3A3A0F35"/>
    <w:rsid w:val="3C5E23A8"/>
    <w:rsid w:val="3C6F3118"/>
    <w:rsid w:val="3C732999"/>
    <w:rsid w:val="3D346110"/>
    <w:rsid w:val="3D606F05"/>
    <w:rsid w:val="3F010273"/>
    <w:rsid w:val="3F2D1069"/>
    <w:rsid w:val="40F736DC"/>
    <w:rsid w:val="445552E9"/>
    <w:rsid w:val="4464552C"/>
    <w:rsid w:val="44F3240C"/>
    <w:rsid w:val="44F33E61"/>
    <w:rsid w:val="467C609F"/>
    <w:rsid w:val="46CE1383"/>
    <w:rsid w:val="4777382F"/>
    <w:rsid w:val="47D34BA1"/>
    <w:rsid w:val="486378A9"/>
    <w:rsid w:val="488B45F5"/>
    <w:rsid w:val="49A95790"/>
    <w:rsid w:val="4C0D5025"/>
    <w:rsid w:val="4C57038F"/>
    <w:rsid w:val="4F2077C0"/>
    <w:rsid w:val="4FCC21D8"/>
    <w:rsid w:val="525564B4"/>
    <w:rsid w:val="5290573F"/>
    <w:rsid w:val="559243CF"/>
    <w:rsid w:val="56566D38"/>
    <w:rsid w:val="565C42B5"/>
    <w:rsid w:val="56AF0889"/>
    <w:rsid w:val="581666E6"/>
    <w:rsid w:val="59B23870"/>
    <w:rsid w:val="59D105CA"/>
    <w:rsid w:val="5A715E56"/>
    <w:rsid w:val="5B01542B"/>
    <w:rsid w:val="5B5639C9"/>
    <w:rsid w:val="5BA54009"/>
    <w:rsid w:val="5D2B3ED1"/>
    <w:rsid w:val="5E487CD0"/>
    <w:rsid w:val="5EBA426F"/>
    <w:rsid w:val="60600E46"/>
    <w:rsid w:val="60D86C2E"/>
    <w:rsid w:val="626E3FE0"/>
    <w:rsid w:val="63185009"/>
    <w:rsid w:val="64D4770D"/>
    <w:rsid w:val="663C7C5F"/>
    <w:rsid w:val="6779459B"/>
    <w:rsid w:val="6997692B"/>
    <w:rsid w:val="6A6E077A"/>
    <w:rsid w:val="6B2018FE"/>
    <w:rsid w:val="6EB177F0"/>
    <w:rsid w:val="70E433CD"/>
    <w:rsid w:val="71F66F14"/>
    <w:rsid w:val="720F6228"/>
    <w:rsid w:val="745C70D1"/>
    <w:rsid w:val="75D21B55"/>
    <w:rsid w:val="767E572A"/>
    <w:rsid w:val="76E80F5C"/>
    <w:rsid w:val="778B6351"/>
    <w:rsid w:val="779A47E6"/>
    <w:rsid w:val="7831015B"/>
    <w:rsid w:val="7B5A6766"/>
    <w:rsid w:val="7BB172A5"/>
    <w:rsid w:val="7D4476CE"/>
    <w:rsid w:val="7F58120E"/>
    <w:rsid w:val="7F857B2A"/>
    <w:rsid w:val="7F9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7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9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页眉 字符"/>
    <w:basedOn w:val="7"/>
    <w:link w:val="5"/>
    <w:qFormat/>
    <w:uiPriority w:val="99"/>
    <w:rPr>
      <w:rFonts w:eastAsiaTheme="minorEastAsia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2525</Words>
  <Characters>2930</Characters>
  <Lines>22</Lines>
  <Paragraphs>6</Paragraphs>
  <TotalTime>44</TotalTime>
  <ScaleCrop>false</ScaleCrop>
  <LinksUpToDate>false</LinksUpToDate>
  <CharactersWithSpaces>3245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2022-07-18T14:49:00Z</dcterms:created>
  <dc:creator>Windows User</dc:creator>
  <cp:lastModifiedBy>Administrator</cp:lastModifiedBy>
  <dcterms:modified xsi:type="dcterms:W3CDTF">2023-10-09T07:54:43Z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C9B018A25AA840C3854AECC04A77FA17</vt:lpwstr>
  </property>
</Properties>
</file>