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7"/>
        </w:tabs>
        <w:snapToGrid w:val="0"/>
        <w:spacing w:before="156" w:beforeLines="50"/>
        <w:jc w:val="center"/>
        <w:rPr>
          <w:rFonts w:ascii="宋体" w:hAnsi="宋体"/>
          <w:b/>
          <w:sz w:val="84"/>
          <w:szCs w:val="84"/>
        </w:rPr>
      </w:pPr>
      <w:bookmarkStart w:id="4" w:name="_GoBack"/>
      <w:bookmarkEnd w:id="4"/>
    </w:p>
    <w:p>
      <w:pPr>
        <w:snapToGrid w:val="0"/>
        <w:spacing w:before="156" w:beforeLines="50"/>
        <w:jc w:val="center"/>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综合评审文件</w:t>
      </w:r>
    </w:p>
    <w:p>
      <w:pPr>
        <w:spacing w:line="360" w:lineRule="auto"/>
        <w:jc w:val="center"/>
        <w:rPr>
          <w:rFonts w:ascii="宋体" w:hAnsi="宋体"/>
          <w:b/>
          <w:bCs/>
          <w:sz w:val="24"/>
          <w:szCs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keepNext w:val="0"/>
        <w:keepLines w:val="0"/>
        <w:pageBreakBefore w:val="0"/>
        <w:widowControl w:val="0"/>
        <w:kinsoku/>
        <w:wordWrap/>
        <w:overflowPunct/>
        <w:topLinePunct w:val="0"/>
        <w:autoSpaceDE/>
        <w:autoSpaceDN/>
        <w:bidi w:val="0"/>
        <w:adjustRightInd/>
        <w:spacing w:line="360" w:lineRule="auto"/>
        <w:ind w:left="0" w:firstLine="562" w:firstLineChars="200"/>
        <w:jc w:val="left"/>
        <w:textAlignment w:val="auto"/>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综合评审</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jc w:val="left"/>
        <w:textAlignment w:val="auto"/>
        <w:rPr>
          <w:rFonts w:ascii="黑体" w:hAnsi="华文中宋" w:cs="华文中宋"/>
          <w:sz w:val="30"/>
          <w:szCs w:val="30"/>
        </w:rPr>
      </w:pPr>
      <w:r>
        <w:rPr>
          <w:rFonts w:ascii="仿宋_GB2312" w:hAnsi="仿宋_GB2312"/>
          <w:b/>
          <w:bCs/>
          <w:sz w:val="28"/>
          <w:szCs w:val="32"/>
        </w:rPr>
        <w:t>项</w:t>
      </w:r>
      <w:r>
        <w:rPr>
          <w:rFonts w:hint="eastAsia" w:ascii="仿宋_GB2312" w:hAnsi="仿宋_GB2312"/>
          <w:b/>
          <w:bCs/>
          <w:sz w:val="28"/>
          <w:szCs w:val="32"/>
        </w:rPr>
        <w:t>目名称：</w:t>
      </w:r>
      <w:r>
        <w:rPr>
          <w:rFonts w:hint="eastAsia" w:ascii="宋体" w:hAnsi="宋体"/>
          <w:b/>
          <w:bCs/>
          <w:sz w:val="28"/>
          <w:szCs w:val="32"/>
        </w:rPr>
        <w:t>珠海高新技术产业开发区公共卫生指导服务中心艾滋病防治服务（2024年男男性行为人群（MSM）干预检测）采购项目</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spacing w:line="360" w:lineRule="auto"/>
        <w:jc w:val="center"/>
        <w:rPr>
          <w:rFonts w:ascii="宋体" w:hAnsi="宋体"/>
          <w:b/>
          <w:bCs/>
          <w:sz w:val="28"/>
          <w:szCs w:val="32"/>
        </w:rPr>
      </w:pPr>
      <w:r>
        <w:rPr>
          <w:rFonts w:hint="eastAsia" w:ascii="宋体" w:hAnsi="宋体"/>
          <w:b/>
          <w:bCs/>
          <w:sz w:val="28"/>
          <w:szCs w:val="32"/>
        </w:rPr>
        <w:t>珠海高新技术产业开发区公共卫生指导服务中心</w:t>
      </w:r>
    </w:p>
    <w:p>
      <w:pPr>
        <w:spacing w:line="360" w:lineRule="auto"/>
        <w:jc w:val="center"/>
        <w:rPr>
          <w:rFonts w:ascii="仿宋_GB2312" w:hAnsi="仿宋_GB2312"/>
          <w:b/>
          <w:bCs/>
          <w:sz w:val="28"/>
          <w:szCs w:val="32"/>
        </w:rPr>
      </w:pPr>
      <w:r>
        <w:rPr>
          <w:rFonts w:hint="eastAsia" w:ascii="仿宋_GB2312" w:hAnsi="仿宋_GB2312"/>
          <w:b/>
          <w:bCs/>
          <w:sz w:val="28"/>
          <w:szCs w:val="32"/>
        </w:rPr>
        <w:t>云采链（广州）信息科技有限公司</w:t>
      </w:r>
    </w:p>
    <w:p>
      <w:pPr>
        <w:autoSpaceDE w:val="0"/>
        <w:autoSpaceDN w:val="0"/>
        <w:adjustRightInd w:val="0"/>
        <w:snapToGrid w:val="0"/>
        <w:spacing w:line="360" w:lineRule="auto"/>
        <w:ind w:left="420" w:firstLine="2810" w:firstLineChars="1000"/>
        <w:rPr>
          <w:rFonts w:ascii="仿宋_GB2312" w:hAnsi="仿宋_GB2312"/>
          <w:b/>
          <w:bCs/>
          <w:sz w:val="28"/>
        </w:rPr>
      </w:pPr>
      <w:r>
        <w:rPr>
          <w:rFonts w:hint="eastAsia" w:ascii="仿宋_GB2312" w:hAnsi="仿宋_GB2312"/>
          <w:b/>
          <w:bCs/>
          <w:sz w:val="28"/>
          <w:szCs w:val="32"/>
        </w:rPr>
        <w:t>二零二四年十月</w:t>
      </w:r>
    </w:p>
    <w:p>
      <w:pPr>
        <w:autoSpaceDE w:val="0"/>
        <w:autoSpaceDN w:val="0"/>
        <w:adjustRightInd w:val="0"/>
        <w:snapToGrid w:val="0"/>
        <w:spacing w:line="360" w:lineRule="auto"/>
        <w:ind w:left="420" w:firstLine="420"/>
        <w:jc w:val="center"/>
        <w:rPr>
          <w:rFonts w:ascii="仿宋_GB2312" w:hAnsi="仿宋_GB2312"/>
          <w:b/>
          <w:bCs/>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1"/>
        <w:spacing w:before="0" w:after="0"/>
      </w:pPr>
      <w:r>
        <w:rPr>
          <w:rFonts w:hint="eastAsia"/>
        </w:rPr>
        <w:t>第一章 线上评审须知</w:t>
      </w:r>
    </w:p>
    <w:p>
      <w:pPr>
        <w:pStyle w:val="2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bCs/>
        </w:rPr>
      </w:pPr>
      <w:r>
        <w:rPr>
          <w:rFonts w:hint="eastAsia" w:ascii="宋体" w:hAnsi="宋体"/>
          <w:b/>
          <w:bCs/>
          <w:szCs w:val="21"/>
        </w:rPr>
        <w:t>本项目通过</w:t>
      </w:r>
      <w:bookmarkStart w:id="0" w:name="_Hlk99544617"/>
      <w:r>
        <w:rPr>
          <w:rFonts w:hint="eastAsia" w:ascii="宋体" w:hAnsi="宋体"/>
          <w:b/>
          <w:bCs/>
          <w:szCs w:val="21"/>
        </w:rPr>
        <w:t>云采链线上采购一体化平台</w:t>
      </w:r>
      <w:bookmarkEnd w:id="0"/>
      <w:r>
        <w:rPr>
          <w:rFonts w:hint="eastAsia" w:ascii="宋体" w:hAnsi="宋体"/>
          <w:b/>
          <w:bCs/>
          <w:szCs w:val="21"/>
        </w:rPr>
        <w:t>发布综合评审，参与评审的供应商必须登录平台进行注册，注册成功后方可参与项目。</w:t>
      </w:r>
    </w:p>
    <w:p>
      <w:pPr>
        <w:pStyle w:val="2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bCs/>
        </w:rPr>
      </w:pPr>
      <w:r>
        <w:rPr>
          <w:b/>
          <w:bCs/>
        </w:rPr>
        <w:t>语言要求</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pPr>
      <w: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bCs/>
        </w:rPr>
      </w:pPr>
      <w:r>
        <w:rPr>
          <w:rFonts w:hint="eastAsia" w:ascii="宋体" w:hAnsi="宋体"/>
          <w:b/>
          <w:bCs/>
          <w:szCs w:val="21"/>
        </w:rPr>
        <w:t>在云采链平台参与项目响应后放弃成交资格超过三次（含三次）的供应商连同该供应商同一法人名下所有公司将被列入平台黑名单，永久不得参与平台的项目。</w:t>
      </w:r>
    </w:p>
    <w:p>
      <w:pPr>
        <w:pStyle w:val="20"/>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1" w:firstLineChars="200"/>
        <w:jc w:val="left"/>
        <w:textAlignment w:val="auto"/>
        <w:rPr>
          <w:b/>
          <w:bCs/>
        </w:rPr>
      </w:pPr>
      <w:r>
        <w:rPr>
          <w:rFonts w:hint="eastAsia"/>
          <w:b/>
          <w:bCs/>
        </w:rPr>
        <w:t>综合评审须知</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rPr>
      </w:pPr>
      <w:r>
        <w:rPr>
          <w:rStyle w:val="16"/>
          <w:rFonts w:hint="eastAsia" w:ascii="宋体" w:hAnsi="宋体"/>
          <w:bCs w:val="0"/>
        </w:rPr>
        <w:t>综合评审说明</w:t>
      </w:r>
    </w:p>
    <w:p>
      <w:pPr>
        <w:pStyle w:val="20"/>
        <w:keepNext w:val="0"/>
        <w:keepLines w:val="0"/>
        <w:pageBreakBefore w:val="0"/>
        <w:numPr>
          <w:ilvl w:val="0"/>
          <w:numId w:val="4"/>
        </w:numPr>
        <w:tabs>
          <w:tab w:val="left" w:pos="851"/>
        </w:tabs>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参与综合评审的供应商应承担所有与准备和参加项目有关的费用，不</w:t>
      </w:r>
      <w:r>
        <w:rPr>
          <w:rFonts w:hint="eastAsia" w:ascii="宋体" w:hAnsi="宋体"/>
          <w:szCs w:val="21"/>
          <w:lang w:eastAsia="zh-TW"/>
        </w:rPr>
        <w:t>论</w:t>
      </w:r>
      <w:r>
        <w:rPr>
          <w:rFonts w:hint="eastAsia" w:ascii="宋体" w:hAnsi="宋体"/>
          <w:szCs w:val="21"/>
        </w:rPr>
        <w:t>综合评审</w:t>
      </w:r>
      <w:r>
        <w:rPr>
          <w:rFonts w:hint="eastAsia" w:ascii="宋体" w:hAnsi="宋体"/>
          <w:szCs w:val="21"/>
          <w:lang w:eastAsia="zh-TW"/>
        </w:rPr>
        <w:t>的结果如何</w:t>
      </w:r>
      <w:r>
        <w:rPr>
          <w:rFonts w:hint="eastAsia" w:ascii="宋体" w:hAnsi="宋体"/>
          <w:szCs w:val="21"/>
        </w:rPr>
        <w:t>，采购</w:t>
      </w:r>
      <w:r>
        <w:rPr>
          <w:rFonts w:hint="eastAsia" w:ascii="宋体" w:hAnsi="宋体"/>
          <w:szCs w:val="21"/>
          <w:lang w:eastAsia="zh-TW"/>
        </w:rPr>
        <w:t>人</w:t>
      </w:r>
      <w:r>
        <w:rPr>
          <w:rFonts w:hint="eastAsia" w:ascii="宋体" w:hAnsi="宋体"/>
          <w:szCs w:val="21"/>
        </w:rPr>
        <w:t>和</w:t>
      </w:r>
      <w:r>
        <w:rPr>
          <w:rFonts w:hint="eastAsia" w:ascii="宋体" w:hAnsi="宋体"/>
          <w:szCs w:val="21"/>
          <w:lang w:eastAsia="zh-TW"/>
        </w:rPr>
        <w:t>代理机构均无义务和责任承担这些费用</w:t>
      </w:r>
      <w:r>
        <w:rPr>
          <w:rFonts w:hint="eastAsia" w:ascii="宋体" w:hAnsi="宋体"/>
          <w:szCs w:val="21"/>
        </w:rPr>
        <w:t>。</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参与综合评审的</w:t>
      </w:r>
      <w:r>
        <w:rPr>
          <w:rFonts w:hint="eastAsia" w:ascii="宋体" w:hAnsi="宋体"/>
          <w:bCs/>
          <w:szCs w:val="21"/>
        </w:rPr>
        <w:t>供应商必须按</w:t>
      </w:r>
      <w:r>
        <w:rPr>
          <w:rFonts w:hint="eastAsia" w:ascii="宋体" w:hAnsi="宋体"/>
          <w:szCs w:val="21"/>
        </w:rPr>
        <w:t>综合评审</w:t>
      </w:r>
      <w:r>
        <w:rPr>
          <w:rFonts w:hint="eastAsia" w:ascii="宋体" w:hAnsi="宋体"/>
          <w:bCs/>
          <w:szCs w:val="21"/>
        </w:rPr>
        <w:t>附件的格式填写，不得随意增加或删除表格内容。除单价、金额或项目要求填写的内容外，不得擅自改动</w:t>
      </w:r>
      <w:r>
        <w:rPr>
          <w:rFonts w:hint="eastAsia" w:ascii="宋体" w:hAnsi="宋体"/>
          <w:szCs w:val="21"/>
        </w:rPr>
        <w:t>综合评审</w:t>
      </w:r>
      <w:r>
        <w:rPr>
          <w:rFonts w:hint="eastAsia" w:ascii="宋体" w:hAnsi="宋体"/>
          <w:bCs/>
          <w:szCs w:val="21"/>
        </w:rPr>
        <w:t>附件内容，否则将有可能影响成交结果，不推荐为成交候选人。</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参与综合评审的</w:t>
      </w:r>
      <w:r>
        <w:rPr>
          <w:rFonts w:hint="eastAsia" w:ascii="宋体" w:hAnsi="宋体"/>
          <w:szCs w:val="21"/>
          <w:lang w:val="zh-CN"/>
        </w:rPr>
        <w:t>供应商需对用户需求书的所有条款进行整体响应。</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若成交供应商自身原因无法完成本项目，则采购人有权利保留追究责任。</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成交供应商因自身原因被取消成交资格，采购人可重新启动采购或按</w:t>
      </w:r>
      <w:r>
        <w:rPr>
          <w:rFonts w:hint="eastAsia" w:ascii="宋体" w:hAnsi="宋体"/>
          <w:szCs w:val="21"/>
        </w:rPr>
        <w:t>综合评审</w:t>
      </w:r>
      <w:r>
        <w:rPr>
          <w:rFonts w:hint="eastAsia" w:ascii="宋体" w:hAnsi="宋体"/>
        </w:rPr>
        <w:t>公告规定顺延推选符合要求的供应商作为成交人。</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若本项目</w:t>
      </w:r>
      <w:r>
        <w:rPr>
          <w:rFonts w:hint="eastAsia" w:ascii="宋体" w:hAnsi="宋体"/>
          <w:szCs w:val="21"/>
        </w:rPr>
        <w:t>综合评审</w:t>
      </w:r>
      <w:r>
        <w:rPr>
          <w:rFonts w:hint="eastAsia" w:ascii="宋体" w:hAnsi="宋体"/>
        </w:rPr>
        <w:t>采购失败，采购人将重新采购，届时采购人有权根据项目具体情况，决定重新采购项目的采购方式。</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成交供应商若无正当理由恶意放弃成交资格，采购人有权将拒绝其参加本项目重新组织的</w:t>
      </w:r>
      <w:r>
        <w:rPr>
          <w:rFonts w:hint="eastAsia" w:ascii="宋体" w:hAnsi="宋体"/>
          <w:szCs w:val="21"/>
        </w:rPr>
        <w:t>综合评审</w:t>
      </w:r>
      <w:r>
        <w:rPr>
          <w:rFonts w:hint="eastAsia" w:ascii="宋体" w:hAnsi="宋体"/>
        </w:rPr>
        <w:t>采购活动。</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如采购人或代理机构在审核或复核</w:t>
      </w:r>
      <w:r>
        <w:rPr>
          <w:rFonts w:hint="eastAsia" w:ascii="宋体" w:hAnsi="宋体"/>
          <w:szCs w:val="21"/>
        </w:rPr>
        <w:t>参与综合评审的</w:t>
      </w:r>
      <w:r>
        <w:rPr>
          <w:rFonts w:hint="eastAsia" w:ascii="宋体" w:hAnsi="宋体"/>
        </w:rPr>
        <w:t>供应商所提交的</w:t>
      </w:r>
      <w:r>
        <w:rPr>
          <w:rFonts w:hint="eastAsia" w:ascii="宋体" w:hAnsi="宋体"/>
          <w:szCs w:val="21"/>
        </w:rPr>
        <w:t>综合评审</w:t>
      </w:r>
      <w:r>
        <w:rPr>
          <w:rFonts w:hint="eastAsia" w:ascii="宋体" w:hAnsi="宋体"/>
        </w:rPr>
        <w:t>资料时，供应商须无条件配合；期间若发现存在弄虚作假或相关的失信记录或违反国家法律法规等相关的不良情形，采购人可取消其成交资格并保留追究责任的权力。</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参与综合评审的</w:t>
      </w:r>
      <w:r>
        <w:rPr>
          <w:rFonts w:hint="eastAsia" w:ascii="宋体" w:hAnsi="宋体"/>
          <w:szCs w:val="21"/>
          <w:lang w:eastAsia="zh-TW"/>
        </w:rPr>
        <w:t>供应商向我司咨询的有关项目事项，一切以综合评审</w:t>
      </w:r>
      <w:r>
        <w:rPr>
          <w:rFonts w:hint="eastAsia" w:ascii="宋体" w:hAnsi="宋体"/>
          <w:szCs w:val="21"/>
        </w:rPr>
        <w:t>文件</w:t>
      </w:r>
      <w:r>
        <w:rPr>
          <w:rFonts w:hint="eastAsia" w:ascii="宋体" w:hAnsi="宋体"/>
          <w:szCs w:val="21"/>
          <w:lang w:eastAsia="zh-TW"/>
        </w:rPr>
        <w:t>规定</w:t>
      </w:r>
      <w:r>
        <w:rPr>
          <w:rFonts w:hint="eastAsia" w:ascii="宋体" w:hAnsi="宋体"/>
          <w:szCs w:val="21"/>
        </w:rPr>
        <w:t>和综合评审公告规定以及</w:t>
      </w:r>
      <w:r>
        <w:rPr>
          <w:rFonts w:hint="eastAsia" w:ascii="宋体" w:hAnsi="宋体"/>
          <w:szCs w:val="21"/>
          <w:lang w:eastAsia="zh-TW"/>
        </w:rPr>
        <w:t>本公司</w:t>
      </w:r>
      <w:r>
        <w:rPr>
          <w:rFonts w:hint="eastAsia" w:ascii="宋体" w:hAnsi="宋体"/>
          <w:szCs w:val="21"/>
        </w:rPr>
        <w:t>的</w:t>
      </w:r>
      <w:r>
        <w:rPr>
          <w:rFonts w:hint="eastAsia" w:ascii="宋体" w:hAnsi="宋体"/>
          <w:szCs w:val="21"/>
          <w:lang w:eastAsia="zh-TW"/>
        </w:rPr>
        <w:t>书面答复为准，其他一切形式均为个人意见，不代表本公司的意见</w:t>
      </w:r>
      <w:r>
        <w:rPr>
          <w:rFonts w:hint="eastAsia" w:ascii="宋体" w:hAnsi="宋体"/>
          <w:szCs w:val="21"/>
          <w:lang w:eastAsia="zh-CN"/>
        </w:rPr>
        <w:t>。</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参与本次综合评审的供应商应认真阅读</w:t>
      </w:r>
      <w:r>
        <w:rPr>
          <w:rFonts w:hint="eastAsia" w:ascii="宋体" w:hAnsi="宋体"/>
          <w:szCs w:val="21"/>
          <w:lang w:eastAsia="zh-TW"/>
        </w:rPr>
        <w:t>、并充分理解</w:t>
      </w:r>
      <w:r>
        <w:rPr>
          <w:rFonts w:hint="eastAsia" w:ascii="宋体" w:hAnsi="宋体"/>
          <w:szCs w:val="21"/>
        </w:rPr>
        <w:t>综合评审</w:t>
      </w:r>
      <w:r>
        <w:rPr>
          <w:rFonts w:hint="eastAsia" w:ascii="宋体" w:hAnsi="宋体"/>
          <w:szCs w:val="21"/>
          <w:lang w:eastAsia="zh-TW"/>
        </w:rPr>
        <w:t>文件的全部内容（包</w:t>
      </w:r>
      <w:r>
        <w:rPr>
          <w:rFonts w:hint="eastAsia" w:ascii="宋体" w:hAnsi="宋体"/>
          <w:b/>
          <w:bCs/>
          <w:szCs w:val="21"/>
          <w:lang w:eastAsia="zh-TW"/>
        </w:rPr>
        <w:t>括所有的补充、修改内容重要事项、格式、条款</w:t>
      </w:r>
      <w:r>
        <w:rPr>
          <w:rFonts w:hint="eastAsia" w:ascii="宋体" w:hAnsi="宋体"/>
          <w:b/>
          <w:bCs/>
          <w:szCs w:val="21"/>
        </w:rPr>
        <w:t>、服务要求</w:t>
      </w:r>
      <w:r>
        <w:rPr>
          <w:rFonts w:hint="eastAsia" w:ascii="宋体" w:hAnsi="宋体"/>
          <w:b/>
          <w:bCs/>
          <w:szCs w:val="21"/>
          <w:lang w:eastAsia="zh-TW"/>
        </w:rPr>
        <w:t>和技术规范、参数及要求等</w:t>
      </w:r>
      <w:r>
        <w:rPr>
          <w:rFonts w:hint="eastAsia" w:ascii="宋体" w:hAnsi="宋体"/>
          <w:szCs w:val="21"/>
          <w:lang w:eastAsia="zh-TW"/>
        </w:rPr>
        <w:t>）。</w:t>
      </w:r>
      <w:r>
        <w:rPr>
          <w:rFonts w:hint="eastAsia" w:ascii="宋体" w:hAnsi="宋体"/>
          <w:szCs w:val="21"/>
        </w:rPr>
        <w:t>供应商</w:t>
      </w:r>
      <w:r>
        <w:rPr>
          <w:rFonts w:hint="eastAsia" w:ascii="宋体" w:hAnsi="宋体"/>
          <w:szCs w:val="21"/>
          <w:lang w:eastAsia="zh-TW"/>
        </w:rPr>
        <w:t>没有按照综合评审文件要求提交全部资料，或者</w:t>
      </w:r>
      <w:r>
        <w:rPr>
          <w:rFonts w:hint="eastAsia" w:ascii="宋体" w:hAnsi="宋体"/>
          <w:szCs w:val="21"/>
        </w:rPr>
        <w:t>参与项目所上传的</w:t>
      </w:r>
      <w:r>
        <w:rPr>
          <w:rFonts w:hint="eastAsia" w:ascii="宋体" w:hAnsi="宋体"/>
          <w:szCs w:val="21"/>
          <w:lang w:eastAsia="zh-TW"/>
        </w:rPr>
        <w:t>文件没有对综合评审文件在各方面都作出实质性响应是</w:t>
      </w:r>
      <w:r>
        <w:rPr>
          <w:rFonts w:hint="eastAsia" w:ascii="宋体" w:hAnsi="宋体"/>
          <w:szCs w:val="21"/>
        </w:rPr>
        <w:t>供应商</w:t>
      </w:r>
      <w:r>
        <w:rPr>
          <w:rFonts w:hint="eastAsia" w:ascii="宋体" w:hAnsi="宋体"/>
          <w:szCs w:val="21"/>
          <w:lang w:eastAsia="zh-TW"/>
        </w:rPr>
        <w:t>的风险，有可能导致其参与评审项目被拒绝，</w:t>
      </w:r>
      <w:r>
        <w:rPr>
          <w:rFonts w:hint="eastAsia" w:ascii="宋体" w:hAnsi="宋体"/>
          <w:szCs w:val="21"/>
        </w:rPr>
        <w:t>或被认定为无效参与。</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kern w:val="0"/>
          <w:szCs w:val="21"/>
        </w:rPr>
        <w:t>采购人有权拒绝接受任何不合格的服务或服务，由此产生的费用及相关后果均由成交供应商自行承担。</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供应商认为评审结果损害其权益的，应按照云采链平台相关指引在规定的时间内向采购人或代理机构提交书面质疑，不提交的视为无异议，</w:t>
      </w:r>
      <w:r>
        <w:t>逾期提交将不予受理</w:t>
      </w:r>
      <w:r>
        <w:rPr>
          <w:rFonts w:hint="eastAsia" w:ascii="宋体" w:hAnsi="宋体"/>
        </w:rPr>
        <w:t>。</w:t>
      </w:r>
    </w:p>
    <w:p>
      <w:pPr>
        <w:pStyle w:val="20"/>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本</w:t>
      </w:r>
      <w:bookmarkStart w:id="1" w:name="_Hlk67948553"/>
      <w:r>
        <w:rPr>
          <w:rFonts w:hint="eastAsia" w:ascii="宋体" w:hAnsi="宋体"/>
          <w:szCs w:val="21"/>
        </w:rPr>
        <w:t>综合评审</w:t>
      </w:r>
      <w:bookmarkEnd w:id="1"/>
      <w:r>
        <w:rPr>
          <w:rFonts w:hint="eastAsia" w:ascii="宋体" w:hAnsi="宋体"/>
          <w:szCs w:val="21"/>
        </w:rPr>
        <w:t>公告和综合评审文件的解释权归</w:t>
      </w:r>
      <w:r>
        <w:rPr>
          <w:rFonts w:hint="eastAsia" w:ascii="宋体" w:hAnsi="宋体"/>
          <w:szCs w:val="21"/>
          <w:lang w:eastAsia="zh-TW"/>
        </w:rPr>
        <w:t>“</w:t>
      </w:r>
      <w:r>
        <w:rPr>
          <w:rFonts w:hint="eastAsia"/>
        </w:rPr>
        <w:t>云采链线上采购一体化平台</w:t>
      </w:r>
      <w:r>
        <w:rPr>
          <w:rFonts w:hint="eastAsia" w:ascii="宋体" w:hAnsi="宋体"/>
          <w:szCs w:val="21"/>
          <w:lang w:eastAsia="zh-TW"/>
        </w:rPr>
        <w:t>”所有。</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rPr>
      </w:pPr>
      <w:r>
        <w:rPr>
          <w:rFonts w:hint="eastAsia" w:ascii="宋体" w:hAnsi="宋体"/>
          <w:b/>
        </w:rPr>
        <w:t>综合评审文件的澄清或修改</w:t>
      </w:r>
    </w:p>
    <w:p>
      <w:pPr>
        <w:pStyle w:val="20"/>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采购人或者采购代理机构可以对已发出的</w:t>
      </w:r>
      <w:r>
        <w:rPr>
          <w:rFonts w:hint="eastAsia" w:ascii="宋体" w:hAnsi="宋体"/>
          <w:szCs w:val="21"/>
        </w:rPr>
        <w:t>综合评审</w:t>
      </w:r>
      <w:r>
        <w:rPr>
          <w:rFonts w:hint="eastAsia" w:ascii="宋体" w:hAnsi="宋体"/>
        </w:rPr>
        <w:t>文件进行必要的澄清或者修改。澄清或者修改的内容将在云采链平台上发布澄清（更正/变更）公告。</w:t>
      </w:r>
    </w:p>
    <w:p>
      <w:pPr>
        <w:pStyle w:val="20"/>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无论澄清或者修改的内容是否影响</w:t>
      </w:r>
      <w:r>
        <w:rPr>
          <w:rFonts w:hint="eastAsia" w:ascii="宋体" w:hAnsi="宋体"/>
          <w:szCs w:val="21"/>
        </w:rPr>
        <w:t>综合评审</w:t>
      </w:r>
      <w:r>
        <w:rPr>
          <w:rFonts w:hint="eastAsia" w:ascii="宋体" w:hAnsi="宋体"/>
        </w:rPr>
        <w:t>，平台将以短信形式通知所有的报名供应商；报名供应商应按要求履行相应的义务；</w:t>
      </w:r>
      <w:r>
        <w:rPr>
          <w:rFonts w:hint="eastAsia" w:ascii="宋体" w:hAnsi="宋体"/>
          <w:szCs w:val="21"/>
        </w:rPr>
        <w:t>如报名</w:t>
      </w:r>
      <w:r>
        <w:rPr>
          <w:rFonts w:hint="eastAsia" w:ascii="宋体" w:hAnsi="宋体"/>
          <w:szCs w:val="21"/>
          <w:lang w:eastAsia="zh-TW"/>
        </w:rPr>
        <w:t>截止时间</w:t>
      </w:r>
      <w:r>
        <w:rPr>
          <w:rFonts w:hint="eastAsia" w:ascii="宋体" w:hAnsi="宋体"/>
          <w:szCs w:val="21"/>
        </w:rPr>
        <w:t>少于一个工作日的，</w:t>
      </w:r>
      <w:r>
        <w:rPr>
          <w:rFonts w:hint="eastAsia" w:ascii="宋体" w:hAnsi="宋体"/>
        </w:rPr>
        <w:t>采购人或者采购代理机构应当相应顺延报名的截止时间。</w:t>
      </w:r>
    </w:p>
    <w:p>
      <w:pPr>
        <w:pStyle w:val="20"/>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采购人或者采购代理机构发出的澄清或修改（更正/变更）的内容为</w:t>
      </w:r>
      <w:r>
        <w:rPr>
          <w:rFonts w:hint="eastAsia" w:ascii="宋体" w:hAnsi="宋体"/>
          <w:szCs w:val="21"/>
        </w:rPr>
        <w:t>综合评审</w:t>
      </w:r>
      <w:r>
        <w:rPr>
          <w:rFonts w:hint="eastAsia" w:ascii="宋体" w:hAnsi="宋体"/>
        </w:rPr>
        <w:t>文件的组成部分，并对供应商具有约束力。</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Style w:val="16"/>
          <w:rFonts w:ascii="宋体" w:hAnsi="宋体"/>
          <w:bCs w:val="0"/>
        </w:rPr>
      </w:pPr>
      <w:r>
        <w:rPr>
          <w:rStyle w:val="16"/>
          <w:rFonts w:hint="eastAsia" w:ascii="宋体" w:hAnsi="宋体"/>
          <w:bCs w:val="0"/>
        </w:rPr>
        <w:t>报名要求</w:t>
      </w:r>
      <w:r>
        <w:rPr>
          <w:rStyle w:val="16"/>
          <w:rFonts w:hint="eastAsia" w:ascii="宋体" w:hAnsi="宋体"/>
          <w:b/>
          <w:bCs w:val="0"/>
        </w:rPr>
        <w:t>（</w:t>
      </w:r>
      <w:r>
        <w:rPr>
          <w:rFonts w:hint="eastAsia" w:ascii="宋体" w:hAnsi="宋体"/>
          <w:b/>
          <w:bCs w:val="0"/>
          <w:szCs w:val="21"/>
        </w:rPr>
        <w:t>参与综合评审的</w:t>
      </w:r>
      <w:r>
        <w:rPr>
          <w:rStyle w:val="16"/>
          <w:rFonts w:hint="eastAsia" w:ascii="宋体" w:hAnsi="宋体"/>
          <w:b/>
          <w:bCs w:val="0"/>
        </w:rPr>
        <w:t>供应商资质要求：</w:t>
      </w:r>
      <w:r>
        <w:rPr>
          <w:rStyle w:val="16"/>
          <w:rFonts w:hint="eastAsia" w:ascii="宋体" w:hAnsi="宋体"/>
          <w:b/>
          <w:bCs w:val="0"/>
          <w:szCs w:val="21"/>
        </w:rPr>
        <w:t>报名时需要提供以下</w:t>
      </w:r>
      <w:r>
        <w:rPr>
          <w:rStyle w:val="16"/>
          <w:rFonts w:hint="eastAsia" w:ascii="宋体" w:hAnsi="宋体"/>
          <w:b/>
          <w:bCs w:val="0"/>
          <w:szCs w:val="21"/>
          <w:u w:val="double"/>
        </w:rPr>
        <w:t>盖章</w:t>
      </w:r>
      <w:r>
        <w:rPr>
          <w:rStyle w:val="16"/>
          <w:rFonts w:hint="eastAsia" w:ascii="宋体" w:hAnsi="宋体"/>
          <w:b/>
          <w:bCs w:val="0"/>
          <w:szCs w:val="21"/>
        </w:rPr>
        <w:t>资料，</w:t>
      </w:r>
      <w:r>
        <w:rPr>
          <w:rFonts w:hint="eastAsia" w:ascii="宋体" w:hAnsi="宋体"/>
          <w:b/>
          <w:bCs w:val="0"/>
          <w:szCs w:val="21"/>
        </w:rPr>
        <w:t>并对上传的报名文件资料承担责任</w:t>
      </w:r>
      <w:r>
        <w:rPr>
          <w:rStyle w:val="16"/>
          <w:rFonts w:hint="eastAsia" w:ascii="宋体" w:hAnsi="宋体"/>
          <w:b/>
          <w:bCs w:val="0"/>
        </w:rPr>
        <w:t>）</w:t>
      </w:r>
    </w:p>
    <w:p>
      <w:pPr>
        <w:pStyle w:val="20"/>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kern w:val="0"/>
          <w:szCs w:val="20"/>
        </w:rPr>
      </w:pPr>
      <w:r>
        <w:rPr>
          <w:rFonts w:hint="eastAsia" w:ascii="宋体" w:hAnsi="宋体"/>
          <w:kern w:val="0"/>
          <w:szCs w:val="20"/>
        </w:rPr>
        <w:t>具有独立承担民事责任能力的在中华人民共和国境内注册的法人，或在民政部门登记的从事社会工作服务的民办非企业单位或社会团体或其他组织（提供法人或其他组织的营业执照等证明材料）。</w:t>
      </w:r>
    </w:p>
    <w:p>
      <w:pPr>
        <w:pStyle w:val="20"/>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asciiTheme="minorEastAsia" w:hAnsiTheme="minorEastAsia" w:eastAsiaTheme="minorEastAsia" w:cstheme="minorEastAsia"/>
        </w:rPr>
      </w:pPr>
      <w:r>
        <w:rPr>
          <w:rFonts w:hint="eastAsia" w:ascii="宋体" w:hAnsi="宋体"/>
          <w:kern w:val="0"/>
          <w:szCs w:val="20"/>
        </w:rPr>
        <w:t>符合《中华人民共和国政府采购法》第二十二条规定。本项目不接受联合体参评。</w:t>
      </w:r>
      <w:r>
        <w:rPr>
          <w:rFonts w:hint="eastAsia" w:asciiTheme="minorEastAsia" w:hAnsiTheme="minorEastAsia" w:eastAsiaTheme="minorEastAsia" w:cstheme="minorEastAsia"/>
          <w:kern w:val="0"/>
          <w:szCs w:val="20"/>
        </w:rPr>
        <w:t>供应商须提供供应商资格声明函</w:t>
      </w:r>
      <w:r>
        <w:rPr>
          <w:rFonts w:hint="eastAsia" w:asciiTheme="minorEastAsia" w:hAnsiTheme="minorEastAsia" w:eastAsiaTheme="minorEastAsia" w:cstheme="minorEastAsia"/>
          <w:b/>
          <w:bCs/>
          <w:kern w:val="0"/>
          <w:szCs w:val="20"/>
        </w:rPr>
        <w:t>，格式详见附件。</w:t>
      </w:r>
    </w:p>
    <w:p>
      <w:pPr>
        <w:pStyle w:val="20"/>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项目供应商未被列入“信用中国”网站(www.creditchina.gov.cn)以下情形之一：①失信被执行人；②重大税收违法失信主体；③政府采购严重违法失信行为（请前往信用中国网--点击“信用服务”--在信用分类查询中分别点击①失信被执行人；②重大税收违法失信主体；③政府采购严重违法失信行为，在以上三类跳转页面中输入公司名称后分别截图查询结果并加盖公章）③政府采购严重违法失信行为。同时，④在中国政府采购网(www.ccgp.gov.cn)“政府采购严重违法失信行为信息记录”中查询没有处于禁止参加政府采购活动的记录名单。</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Style w:val="16"/>
          <w:rFonts w:ascii="宋体" w:hAnsi="宋体"/>
          <w:bCs w:val="0"/>
        </w:rPr>
      </w:pPr>
      <w:r>
        <w:rPr>
          <w:rStyle w:val="16"/>
          <w:rFonts w:hint="eastAsia" w:ascii="宋体" w:hAnsi="宋体"/>
          <w:bCs w:val="0"/>
        </w:rPr>
        <w:t>报价要求</w:t>
      </w:r>
      <w:r>
        <w:rPr>
          <w:rStyle w:val="16"/>
          <w:rFonts w:hint="eastAsia" w:ascii="宋体" w:hAnsi="宋体"/>
          <w:b/>
          <w:bCs/>
          <w:szCs w:val="21"/>
        </w:rPr>
        <w:t>（报价时需要提供以下</w:t>
      </w:r>
      <w:r>
        <w:rPr>
          <w:rStyle w:val="16"/>
          <w:rFonts w:hint="eastAsia" w:ascii="宋体" w:hAnsi="宋体"/>
          <w:b/>
          <w:bCs/>
          <w:szCs w:val="21"/>
          <w:u w:val="double"/>
        </w:rPr>
        <w:t>盖章</w:t>
      </w:r>
      <w:r>
        <w:rPr>
          <w:rStyle w:val="16"/>
          <w:rFonts w:hint="eastAsia" w:ascii="宋体" w:hAnsi="宋体"/>
          <w:b/>
          <w:bCs/>
          <w:szCs w:val="21"/>
        </w:rPr>
        <w:t>资料，</w:t>
      </w:r>
      <w:r>
        <w:rPr>
          <w:rFonts w:hint="eastAsia" w:ascii="宋体" w:hAnsi="宋体"/>
          <w:b/>
          <w:bCs/>
          <w:szCs w:val="21"/>
        </w:rPr>
        <w:t>并对上传的响应文件资料承担责任</w:t>
      </w:r>
      <w:r>
        <w:rPr>
          <w:rStyle w:val="16"/>
          <w:rFonts w:hint="eastAsia" w:ascii="宋体" w:hAnsi="宋体"/>
          <w:b/>
          <w:bCs/>
          <w:szCs w:val="21"/>
        </w:rPr>
        <w:t>）</w:t>
      </w:r>
    </w:p>
    <w:p>
      <w:pPr>
        <w:pStyle w:val="20"/>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通过报名供应商应根据本公告要求，在规定的时间内对采购项目进行响应，同时按本公告要求完整</w:t>
      </w:r>
      <w:r>
        <w:rPr>
          <w:rFonts w:hint="eastAsia" w:ascii="宋体" w:hAnsi="宋体"/>
          <w:szCs w:val="21"/>
          <w:lang w:eastAsia="zh-TW"/>
        </w:rPr>
        <w:t>、真实、准确地</w:t>
      </w:r>
      <w:r>
        <w:rPr>
          <w:rFonts w:hint="eastAsia" w:ascii="宋体" w:hAnsi="宋体"/>
          <w:szCs w:val="21"/>
        </w:rPr>
        <w:t>填写并上传相应报价附件</w:t>
      </w:r>
      <w:r>
        <w:rPr>
          <w:rFonts w:hint="eastAsia" w:ascii="宋体" w:hAnsi="宋体"/>
          <w:b/>
          <w:bCs/>
          <w:szCs w:val="21"/>
        </w:rPr>
        <w:t>（</w:t>
      </w:r>
      <w:r>
        <w:rPr>
          <w:rFonts w:hint="eastAsia" w:ascii="宋体" w:hAnsi="宋体"/>
          <w:b/>
          <w:bCs/>
          <w:szCs w:val="21"/>
        </w:rPr>
        <w:t>报价表、第三章响应文件及相关评分要求文件</w:t>
      </w:r>
      <w:r>
        <w:rPr>
          <w:rFonts w:hint="eastAsia" w:ascii="宋体" w:hAnsi="宋体"/>
          <w:b/>
          <w:bCs/>
          <w:szCs w:val="21"/>
        </w:rPr>
        <w:t>）</w:t>
      </w:r>
      <w:r>
        <w:rPr>
          <w:rFonts w:hint="eastAsia" w:ascii="宋体" w:hAnsi="宋体"/>
          <w:szCs w:val="21"/>
        </w:rPr>
        <w:t>。</w:t>
      </w:r>
    </w:p>
    <w:p>
      <w:pPr>
        <w:pStyle w:val="20"/>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bCs/>
          <w:szCs w:val="21"/>
          <w:u w:val="double"/>
        </w:rPr>
      </w:pPr>
      <w:r>
        <w:rPr>
          <w:rFonts w:hint="eastAsia" w:ascii="宋体" w:hAnsi="宋体"/>
          <w:b/>
          <w:bCs/>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Style w:val="16"/>
          <w:rFonts w:ascii="宋体" w:hAnsi="宋体"/>
          <w:bCs w:val="0"/>
        </w:rPr>
      </w:pPr>
      <w:r>
        <w:rPr>
          <w:rStyle w:val="16"/>
          <w:rFonts w:hint="eastAsia" w:ascii="宋体" w:hAnsi="宋体"/>
          <w:bCs w:val="0"/>
        </w:rPr>
        <w:t>确定成交候选人（</w:t>
      </w:r>
      <w:r>
        <w:rPr>
          <w:rStyle w:val="16"/>
          <w:rFonts w:hint="eastAsia" w:ascii="宋体" w:hAnsi="宋体"/>
          <w:bCs w:val="0"/>
          <w:u w:val="double"/>
        </w:rPr>
        <w:t>供应商须在系统报价环节上传响应文件并报价，响应文件请按照本文件第三章响应文件模板进行编制后打印，每页加盖公章后扫描成一个P</w:t>
      </w:r>
      <w:r>
        <w:rPr>
          <w:rStyle w:val="16"/>
          <w:rFonts w:ascii="宋体" w:hAnsi="宋体"/>
          <w:bCs w:val="0"/>
          <w:u w:val="double"/>
        </w:rPr>
        <w:t>DF</w:t>
      </w:r>
      <w:r>
        <w:rPr>
          <w:rStyle w:val="16"/>
          <w:rFonts w:hint="eastAsia" w:ascii="宋体" w:hAnsi="宋体"/>
          <w:bCs w:val="0"/>
          <w:u w:val="double"/>
        </w:rPr>
        <w:t>上传即可</w:t>
      </w:r>
      <w:r>
        <w:rPr>
          <w:rStyle w:val="16"/>
          <w:rFonts w:hint="eastAsia" w:ascii="宋体" w:hAnsi="宋体"/>
          <w:bCs w:val="0"/>
        </w:rPr>
        <w:t>）</w:t>
      </w:r>
    </w:p>
    <w:p>
      <w:pPr>
        <w:pStyle w:val="20"/>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本项目以综合评分法确定成交供应商，参与评审的专家按照评分标准以及权重分配的规定就各个供应商的技术状况、商务状况、价格状况及其对本文件要求的响应情况进行评议和比较，评出其技术评分、商务评分和价格评分相加得出其综合得分，推荐综合得分排名第一的供应商为第一成交候选人，排名第二的竞价供应商为第二成交候选人，以此类推。</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szCs w:val="21"/>
        </w:rPr>
      </w:pPr>
      <w:r>
        <w:rPr>
          <w:rFonts w:hint="eastAsia" w:ascii="宋体" w:hAnsi="宋体"/>
          <w:b/>
          <w:szCs w:val="21"/>
        </w:rPr>
        <w:t>无效参与</w:t>
      </w:r>
    </w:p>
    <w:p>
      <w:pPr>
        <w:pStyle w:val="20"/>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响应供应商报价超过最高限价或低于最低限价或超过项目对应产品单项最高限价的视为无效响应；</w:t>
      </w:r>
    </w:p>
    <w:p>
      <w:pPr>
        <w:pStyle w:val="20"/>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参与综合评审的</w:t>
      </w:r>
      <w:r>
        <w:rPr>
          <w:rFonts w:hint="eastAsia" w:ascii="宋体" w:hAnsi="宋体"/>
          <w:bCs/>
          <w:szCs w:val="21"/>
        </w:rPr>
        <w:t>供应商须提供本项目要求的资质文件，如果不按公告规定或</w:t>
      </w:r>
      <w:r>
        <w:rPr>
          <w:rFonts w:hint="eastAsia" w:ascii="宋体" w:hAnsi="宋体"/>
          <w:szCs w:val="21"/>
        </w:rPr>
        <w:t>综合评审</w:t>
      </w:r>
      <w:r>
        <w:rPr>
          <w:rFonts w:hint="eastAsia" w:ascii="宋体" w:hAnsi="宋体"/>
          <w:bCs/>
          <w:szCs w:val="21"/>
        </w:rPr>
        <w:t>文件要求等相关规定提供符合要求的资质文件，将被视为无效参与；</w:t>
      </w:r>
    </w:p>
    <w:p>
      <w:pPr>
        <w:pStyle w:val="20"/>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参与综合评审的</w:t>
      </w:r>
      <w:r>
        <w:rPr>
          <w:rFonts w:hint="eastAsia" w:ascii="宋体" w:hAnsi="宋体"/>
          <w:bCs/>
          <w:szCs w:val="21"/>
        </w:rPr>
        <w:t>供应商须对本项目采购内容进行整体响应，任何只对其中一部分内容进行的响应都被视为无效参评。</w:t>
      </w:r>
    </w:p>
    <w:p>
      <w:pPr>
        <w:pStyle w:val="20"/>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u w:val="double"/>
        </w:rPr>
        <w:t>所有参与评审提供的响应文件，供应商落款的文件</w:t>
      </w:r>
      <w:r>
        <w:rPr>
          <w:u w:val="double"/>
        </w:rPr>
        <w:t>必须加盖</w:t>
      </w:r>
      <w:r>
        <w:rPr>
          <w:rFonts w:hint="eastAsia"/>
          <w:u w:val="double"/>
        </w:rPr>
        <w:t>供应商</w:t>
      </w:r>
      <w:r>
        <w:rPr>
          <w:u w:val="double"/>
        </w:rPr>
        <w:t>公章，否则视为无效</w:t>
      </w:r>
      <w:r>
        <w:rPr>
          <w:rFonts w:hint="eastAsia"/>
          <w:u w:val="double"/>
        </w:rPr>
        <w:t>参评</w:t>
      </w:r>
      <w:r>
        <w:rPr>
          <w:rFonts w:hint="eastAsia"/>
        </w:rPr>
        <w:t>；</w:t>
      </w:r>
    </w:p>
    <w:p>
      <w:pPr>
        <w:pStyle w:val="20"/>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0"/>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21" w:firstLineChars="200"/>
        <w:jc w:val="left"/>
        <w:textAlignment w:val="auto"/>
        <w:rPr>
          <w:b/>
          <w:bCs/>
          <w:sz w:val="21"/>
          <w:szCs w:val="21"/>
          <w:u w:val="double"/>
        </w:rPr>
      </w:pPr>
      <w:r>
        <w:rPr>
          <w:rFonts w:hint="eastAsia"/>
          <w:b/>
          <w:bCs/>
          <w:sz w:val="21"/>
          <w:szCs w:val="21"/>
          <w:u w:val="double"/>
        </w:rPr>
        <w:t>按有关法律、法规、规章属于参评无效的。</w:t>
      </w:r>
    </w:p>
    <w:p>
      <w:pPr>
        <w:pStyle w:val="10"/>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1" w:firstLineChars="200"/>
        <w:jc w:val="left"/>
        <w:textAlignment w:val="auto"/>
        <w:rPr>
          <w:b/>
          <w:sz w:val="21"/>
          <w:szCs w:val="21"/>
        </w:rPr>
      </w:pPr>
      <w:r>
        <w:rPr>
          <w:rFonts w:hint="eastAsia"/>
          <w:b/>
          <w:sz w:val="21"/>
          <w:szCs w:val="21"/>
        </w:rPr>
        <w:t>有下列情形之一的，视为串通参与项目，其参与无效：</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单位负责人为同一人或存在控股、管理关系的不同单位参与同一综合评审项目；</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不同供应商的响应文件由同一单位或者个人编制；</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不同供应商委托同一单位或者个人办理综合评审事宜；</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不同供应商使用同一IP地址参与综合评审；</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不同供应商的响应文件载明的项目管理成员或者联系人员为同一人；</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不同供应商的响应文件异常一致或者报价呈规律性差异；</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不同供应商的响应文件相互混淆；</w:t>
      </w:r>
    </w:p>
    <w:p>
      <w:pPr>
        <w:pStyle w:val="20"/>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不同供应商的平台使用费从同一单位或者个人的账户转出</w:t>
      </w:r>
      <w:r>
        <w:rPr>
          <w:rFonts w:hint="eastAsia" w:ascii="宋体" w:hAnsi="宋体"/>
          <w:szCs w:val="21"/>
          <w:lang w:eastAsia="zh-CN"/>
        </w:rPr>
        <w:t>。</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szCs w:val="21"/>
        </w:rPr>
      </w:pPr>
      <w:r>
        <w:rPr>
          <w:rFonts w:hint="eastAsia" w:ascii="宋体" w:hAnsi="宋体"/>
          <w:b/>
          <w:szCs w:val="21"/>
        </w:rPr>
        <w:t>综合评审活动失败</w:t>
      </w:r>
    </w:p>
    <w:p>
      <w:pPr>
        <w:pStyle w:val="20"/>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出现下列情况的，本次综合评审活动失败：</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报名供应商不足3家；</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hint="eastAsia" w:ascii="宋体" w:hAnsi="宋体"/>
          <w:szCs w:val="21"/>
        </w:rPr>
        <w:t>参与评审的供应商不足3家。</w:t>
      </w:r>
    </w:p>
    <w:p>
      <w:pPr>
        <w:pStyle w:val="20"/>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ascii="宋体" w:hAnsi="宋体"/>
          <w:szCs w:val="21"/>
        </w:rPr>
        <w:t>出现影响采购公正的违法、违规行为的</w:t>
      </w:r>
      <w:r>
        <w:rPr>
          <w:rFonts w:hint="eastAsia" w:ascii="宋体" w:hAnsi="宋体"/>
          <w:szCs w:val="21"/>
        </w:rPr>
        <w:t>；</w:t>
      </w:r>
    </w:p>
    <w:p>
      <w:pPr>
        <w:pStyle w:val="20"/>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rPr>
      </w:pPr>
      <w:r>
        <w:rPr>
          <w:rFonts w:ascii="宋体" w:hAnsi="宋体"/>
          <w:szCs w:val="21"/>
        </w:rPr>
        <w:t>因重大变故，采购任务取消的</w:t>
      </w:r>
      <w:r>
        <w:rPr>
          <w:rFonts w:hint="eastAsia" w:ascii="宋体" w:hAnsi="宋体"/>
          <w:szCs w:val="21"/>
          <w:lang w:eastAsia="zh-CN"/>
        </w:rPr>
        <w:t>。</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szCs w:val="21"/>
        </w:rPr>
      </w:pPr>
      <w:r>
        <w:rPr>
          <w:rFonts w:hint="eastAsia" w:ascii="宋体" w:hAnsi="宋体"/>
          <w:b/>
          <w:szCs w:val="21"/>
        </w:rPr>
        <w:t>使用费</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成交供应商须向平台服务商</w:t>
      </w:r>
      <w:r>
        <w:rPr>
          <w:rFonts w:hint="eastAsia"/>
        </w:rPr>
        <w:t>云采链线上采购一体化平台</w:t>
      </w:r>
      <w:r>
        <w:rPr>
          <w:rFonts w:hint="eastAsia" w:ascii="宋体" w:hAnsi="宋体"/>
        </w:rPr>
        <w:t>缴纳平台使用费，金额为成交金额的1</w:t>
      </w:r>
      <w:r>
        <w:rPr>
          <w:rFonts w:ascii="宋体" w:hAnsi="宋体"/>
        </w:rPr>
        <w:t>.5</w:t>
      </w:r>
      <w:r>
        <w:rPr>
          <w:rFonts w:hint="eastAsia" w:ascii="宋体" w:hAnsi="宋体"/>
        </w:rPr>
        <w:t>%（</w:t>
      </w:r>
      <w:r>
        <w:rPr>
          <w:rFonts w:hint="eastAsia"/>
          <w:color w:val="000000"/>
          <w:szCs w:val="21"/>
          <w:shd w:val="clear" w:color="auto" w:fill="FFFFFF"/>
        </w:rPr>
        <w:t>四舍五入取整数）</w:t>
      </w:r>
      <w:r>
        <w:rPr>
          <w:rFonts w:hint="eastAsia" w:ascii="宋体" w:hAnsi="宋体"/>
          <w:lang w:eastAsia="zh-CN"/>
        </w:rPr>
        <w:t>；</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rPr>
        <w:t>成交供应商无正当理由放弃成交资格的必须按</w:t>
      </w:r>
      <w:r>
        <w:rPr>
          <w:rFonts w:hint="eastAsia" w:ascii="宋体" w:hAnsi="宋体"/>
          <w:szCs w:val="21"/>
        </w:rPr>
        <w:t>综合评审</w:t>
      </w:r>
      <w:r>
        <w:rPr>
          <w:rFonts w:hint="eastAsia" w:ascii="宋体" w:hAnsi="宋体"/>
        </w:rPr>
        <w:t>公告等相关规定缴纳相应的平台使用费；</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r>
        <w:rPr>
          <w:rFonts w:hint="eastAsia" w:ascii="宋体" w:hAnsi="宋体"/>
          <w:szCs w:val="21"/>
          <w:lang w:eastAsia="zh-CN"/>
        </w:rPr>
        <w:t>。</w:t>
      </w:r>
    </w:p>
    <w:p>
      <w:pPr>
        <w:pStyle w:val="20"/>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1" w:firstLineChars="200"/>
        <w:jc w:val="left"/>
        <w:textAlignment w:val="auto"/>
        <w:rPr>
          <w:rFonts w:ascii="宋体" w:hAnsi="宋体"/>
          <w:b/>
        </w:rPr>
      </w:pPr>
      <w:r>
        <w:rPr>
          <w:rFonts w:hint="eastAsia" w:ascii="宋体" w:hAnsi="宋体"/>
          <w:b/>
        </w:rPr>
        <w:t>联系方式</w:t>
      </w:r>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lang w:eastAsia="zh-CN"/>
        </w:rPr>
      </w:pPr>
      <w:r>
        <w:t>扫码关注微信公众号“云采链互联服务平台”，即可在线咨询相关事项</w:t>
      </w:r>
      <w:r>
        <w:rPr>
          <w:rFonts w:hint="eastAsia" w:ascii="宋体" w:hAnsi="宋体"/>
          <w:lang w:eastAsia="zh-CN"/>
        </w:rPr>
        <w:t>。</w:t>
      </w:r>
    </w:p>
    <w:p>
      <w:pPr>
        <w:pStyle w:val="20"/>
        <w:widowControl/>
        <w:spacing w:line="360" w:lineRule="auto"/>
        <w:ind w:left="420" w:firstLine="0" w:firstLineChars="0"/>
        <w:jc w:val="center"/>
        <w:rPr>
          <w:rFonts w:ascii="宋体" w:hAnsi="宋体"/>
          <w:b/>
        </w:rPr>
      </w:pPr>
      <w:r>
        <w:rPr>
          <w:rFonts w:hint="eastAsia" w:ascii="宋体" w:hAnsi="宋体"/>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6" cstate="print"/>
                    <a:srcRect/>
                    <a:stretch>
                      <a:fillRect/>
                    </a:stretch>
                  </pic:blipFill>
                  <pic:spPr>
                    <a:xfrm>
                      <a:off x="0" y="0"/>
                      <a:ext cx="1390650" cy="1390650"/>
                    </a:xfrm>
                    <a:prstGeom prst="rect">
                      <a:avLst/>
                    </a:prstGeom>
                    <a:ln>
                      <a:noFill/>
                    </a:ln>
                  </pic:spPr>
                </pic:pic>
              </a:graphicData>
            </a:graphic>
          </wp:inline>
        </w:drawing>
      </w:r>
    </w:p>
    <w:p>
      <w:pPr>
        <w:pStyle w:val="11"/>
        <w:spacing w:before="0" w:after="0"/>
        <w:rPr>
          <w:rFonts w:ascii="宋体" w:hAnsi="宋体"/>
        </w:rPr>
      </w:pPr>
      <w:r>
        <w:rPr>
          <w:rFonts w:ascii="宋体" w:hAnsi="宋体"/>
        </w:rPr>
        <w:br w:type="page"/>
      </w:r>
      <w:r>
        <w:rPr>
          <w:rFonts w:hint="eastAsia"/>
          <w:kern w:val="0"/>
          <w:lang w:val="zh-CN"/>
        </w:rPr>
        <w:t>第二章 用户需求书</w:t>
      </w:r>
    </w:p>
    <w:p>
      <w:pPr>
        <w:keepNext w:val="0"/>
        <w:keepLines w:val="0"/>
        <w:pageBreakBefore w:val="0"/>
        <w:widowControl w:val="0"/>
        <w:kinsoku/>
        <w:wordWrap/>
        <w:overflowPunct/>
        <w:topLinePunct w:val="0"/>
        <w:autoSpaceDE/>
        <w:autoSpaceDN/>
        <w:bidi w:val="0"/>
        <w:spacing w:line="360" w:lineRule="auto"/>
        <w:ind w:left="0" w:firstLine="421" w:firstLineChars="200"/>
        <w:textAlignment w:val="auto"/>
        <w:rPr>
          <w:rFonts w:ascii="宋体" w:hAnsi="宋体"/>
          <w:b/>
          <w:bCs/>
          <w:lang w:val="zh-TW"/>
        </w:rPr>
      </w:pPr>
      <w:r>
        <w:rPr>
          <w:rFonts w:hint="eastAsia" w:ascii="宋体" w:hAnsi="宋体"/>
          <w:b/>
          <w:bCs/>
          <w:lang w:val="zh-TW"/>
        </w:rPr>
        <w:t>注：</w:t>
      </w:r>
    </w:p>
    <w:p>
      <w:pPr>
        <w:pStyle w:val="20"/>
        <w:keepNext w:val="0"/>
        <w:keepLines w:val="0"/>
        <w:pageBreakBefore w:val="0"/>
        <w:widowControl w:val="0"/>
        <w:numPr>
          <w:ilvl w:val="0"/>
          <w:numId w:val="14"/>
        </w:numPr>
        <w:kinsoku/>
        <w:wordWrap/>
        <w:overflowPunct/>
        <w:topLinePunct w:val="0"/>
        <w:autoSpaceDE/>
        <w:autoSpaceDN/>
        <w:bidi w:val="0"/>
        <w:spacing w:line="360" w:lineRule="auto"/>
        <w:ind w:left="0" w:firstLine="421" w:firstLineChars="200"/>
        <w:textAlignment w:val="auto"/>
        <w:rPr>
          <w:rFonts w:ascii="宋体" w:hAnsi="宋体"/>
          <w:b/>
          <w:bCs/>
          <w:lang w:val="zh-TW"/>
        </w:rPr>
      </w:pPr>
      <w:r>
        <w:rPr>
          <w:rFonts w:hint="eastAsia" w:ascii="宋体" w:hAnsi="宋体"/>
          <w:b/>
          <w:bCs/>
          <w:lang w:val="zh-TW"/>
        </w:rPr>
        <w:t>加注“★”的条款均被视为不可偏离条款，供应商要特别加以注意，必须对此响应并完全满足或优于这些条款，若有一项加注“★”的条款未响应或不满足，会直接导致无效响应。</w:t>
      </w:r>
    </w:p>
    <w:p>
      <w:pPr>
        <w:pStyle w:val="20"/>
        <w:keepNext w:val="0"/>
        <w:keepLines w:val="0"/>
        <w:pageBreakBefore w:val="0"/>
        <w:widowControl w:val="0"/>
        <w:numPr>
          <w:ilvl w:val="0"/>
          <w:numId w:val="14"/>
        </w:numPr>
        <w:kinsoku/>
        <w:wordWrap/>
        <w:overflowPunct/>
        <w:topLinePunct w:val="0"/>
        <w:autoSpaceDE/>
        <w:autoSpaceDN/>
        <w:bidi w:val="0"/>
        <w:spacing w:line="360" w:lineRule="auto"/>
        <w:ind w:left="0" w:firstLine="421" w:firstLineChars="200"/>
        <w:textAlignment w:val="auto"/>
        <w:rPr>
          <w:rFonts w:ascii="宋体" w:hAnsi="宋体"/>
          <w:b/>
          <w:bCs/>
          <w:lang w:val="zh-TW"/>
        </w:rPr>
      </w:pPr>
      <w:r>
        <w:rPr>
          <w:rFonts w:hint="eastAsia" w:ascii="宋体" w:hAnsi="宋体"/>
          <w:b/>
          <w:bCs/>
          <w:lang w:val="zh-TW"/>
        </w:rPr>
        <w:t>加注“▲”的条款为重要条款，如不满足将会导致评审的严重扣分，但不作为无效响应条款。</w:t>
      </w:r>
    </w:p>
    <w:p>
      <w:pPr>
        <w:pStyle w:val="6"/>
        <w:keepNext w:val="0"/>
        <w:keepLines w:val="0"/>
        <w:pageBreakBefore w:val="0"/>
        <w:widowControl w:val="0"/>
        <w:numPr>
          <w:ilvl w:val="0"/>
          <w:numId w:val="15"/>
        </w:numPr>
        <w:tabs>
          <w:tab w:val="left" w:pos="540"/>
        </w:tabs>
        <w:kinsoku/>
        <w:wordWrap/>
        <w:overflowPunct/>
        <w:topLinePunct w:val="0"/>
        <w:autoSpaceDE/>
        <w:autoSpaceDN/>
        <w:bidi w:val="0"/>
        <w:adjustRightInd w:val="0"/>
        <w:snapToGrid w:val="0"/>
        <w:spacing w:line="360" w:lineRule="auto"/>
        <w:ind w:left="0" w:firstLine="421" w:firstLineChars="200"/>
        <w:textAlignment w:val="auto"/>
        <w:rPr>
          <w:b/>
          <w:bCs/>
          <w:sz w:val="21"/>
        </w:rPr>
      </w:pPr>
      <w:r>
        <w:rPr>
          <w:rFonts w:hint="eastAsia"/>
          <w:b/>
          <w:bCs/>
          <w:sz w:val="21"/>
        </w:rPr>
        <w:t>项目一览表</w:t>
      </w:r>
    </w:p>
    <w:tbl>
      <w:tblPr>
        <w:tblStyle w:val="13"/>
        <w:tblW w:w="85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658"/>
        <w:gridCol w:w="2450"/>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490" w:type="dxa"/>
            <w:shd w:val="clear" w:color="auto" w:fill="EEECE1"/>
            <w:vAlign w:val="center"/>
          </w:tcPr>
          <w:p>
            <w:pPr>
              <w:spacing w:line="360" w:lineRule="auto"/>
              <w:jc w:val="center"/>
              <w:rPr>
                <w:rFonts w:ascii="宋体" w:hAnsi="宋体"/>
                <w:b/>
                <w:szCs w:val="21"/>
              </w:rPr>
            </w:pPr>
            <w:r>
              <w:rPr>
                <w:rFonts w:hint="eastAsia" w:ascii="宋体" w:hAnsi="宋体"/>
                <w:b/>
                <w:szCs w:val="21"/>
              </w:rPr>
              <w:t>项目名称</w:t>
            </w:r>
          </w:p>
        </w:tc>
        <w:tc>
          <w:tcPr>
            <w:tcW w:w="658" w:type="dxa"/>
            <w:shd w:val="clear" w:color="auto" w:fill="EEECE1"/>
            <w:vAlign w:val="center"/>
          </w:tcPr>
          <w:p>
            <w:pPr>
              <w:spacing w:line="360" w:lineRule="auto"/>
              <w:jc w:val="center"/>
              <w:rPr>
                <w:rFonts w:ascii="宋体" w:hAnsi="宋体"/>
                <w:b/>
                <w:szCs w:val="21"/>
              </w:rPr>
            </w:pPr>
            <w:r>
              <w:rPr>
                <w:rFonts w:hint="eastAsia" w:ascii="宋体" w:hAnsi="宋体"/>
                <w:b/>
                <w:szCs w:val="21"/>
              </w:rPr>
              <w:t>数量</w:t>
            </w:r>
          </w:p>
        </w:tc>
        <w:tc>
          <w:tcPr>
            <w:tcW w:w="2450" w:type="dxa"/>
            <w:shd w:val="clear" w:color="auto" w:fill="EEECE1"/>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项目周期</w:t>
            </w:r>
          </w:p>
        </w:tc>
        <w:tc>
          <w:tcPr>
            <w:tcW w:w="1984" w:type="dxa"/>
            <w:shd w:val="clear" w:color="auto" w:fill="EEECE1"/>
            <w:vAlign w:val="center"/>
          </w:tcPr>
          <w:p>
            <w:pPr>
              <w:spacing w:line="360" w:lineRule="auto"/>
              <w:jc w:val="center"/>
              <w:rPr>
                <w:rFonts w:ascii="宋体" w:hAnsi="宋体"/>
                <w:b/>
                <w:szCs w:val="21"/>
              </w:rPr>
            </w:pPr>
            <w:r>
              <w:rPr>
                <w:rFonts w:hint="eastAsia" w:ascii="宋体" w:hAnsi="宋体"/>
                <w:b/>
                <w:szCs w:val="21"/>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3490" w:type="dxa"/>
            <w:vAlign w:val="center"/>
          </w:tcPr>
          <w:p>
            <w:pPr>
              <w:keepNext/>
              <w:adjustRightInd w:val="0"/>
              <w:spacing w:line="360" w:lineRule="auto"/>
              <w:jc w:val="center"/>
              <w:textAlignment w:val="center"/>
              <w:rPr>
                <w:rFonts w:ascii="宋体" w:hAnsi="宋体"/>
                <w:kern w:val="0"/>
                <w:szCs w:val="21"/>
              </w:rPr>
            </w:pPr>
            <w:r>
              <w:rPr>
                <w:rFonts w:hint="eastAsia" w:ascii="宋体" w:hAnsi="宋体"/>
                <w:kern w:val="0"/>
                <w:szCs w:val="21"/>
              </w:rPr>
              <w:t>珠海高新技术产业开发区公共卫生指导服务中心艾滋病防治服务（2024年男男性行为人群（MSM）干预检测）采购项目</w:t>
            </w:r>
          </w:p>
        </w:tc>
        <w:tc>
          <w:tcPr>
            <w:tcW w:w="658" w:type="dxa"/>
            <w:vAlign w:val="center"/>
          </w:tcPr>
          <w:p>
            <w:pPr>
              <w:keepNext/>
              <w:adjustRightInd w:val="0"/>
              <w:spacing w:line="360" w:lineRule="auto"/>
              <w:jc w:val="center"/>
              <w:textAlignment w:val="center"/>
              <w:rPr>
                <w:rFonts w:ascii="宋体" w:hAnsi="宋体"/>
                <w:kern w:val="0"/>
                <w:szCs w:val="21"/>
              </w:rPr>
            </w:pPr>
            <w:r>
              <w:rPr>
                <w:rFonts w:hint="eastAsia" w:ascii="宋体" w:hAnsi="宋体"/>
                <w:kern w:val="0"/>
                <w:szCs w:val="21"/>
              </w:rPr>
              <w:t>1项</w:t>
            </w:r>
          </w:p>
        </w:tc>
        <w:tc>
          <w:tcPr>
            <w:tcW w:w="2450" w:type="dxa"/>
            <w:vAlign w:val="center"/>
          </w:tcPr>
          <w:p>
            <w:pPr>
              <w:keepNext/>
              <w:adjustRightInd w:val="0"/>
              <w:spacing w:line="360" w:lineRule="auto"/>
              <w:jc w:val="center"/>
              <w:textAlignment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从签订合同日起至2025年10月31日</w:t>
            </w:r>
          </w:p>
        </w:tc>
        <w:tc>
          <w:tcPr>
            <w:tcW w:w="1984" w:type="dxa"/>
            <w:vAlign w:val="center"/>
          </w:tcPr>
          <w:p>
            <w:pPr>
              <w:keepNext/>
              <w:adjustRightInd w:val="0"/>
              <w:spacing w:line="360" w:lineRule="auto"/>
              <w:jc w:val="center"/>
              <w:textAlignment w:val="center"/>
              <w:rPr>
                <w:rFonts w:ascii="宋体" w:hAnsi="宋体"/>
                <w:kern w:val="0"/>
                <w:szCs w:val="21"/>
              </w:rPr>
            </w:pPr>
            <w:r>
              <w:rPr>
                <w:rFonts w:hint="eastAsia" w:ascii="宋体" w:hAnsi="宋体"/>
                <w:kern w:val="0"/>
                <w:szCs w:val="21"/>
              </w:rPr>
              <w:t>人民币</w:t>
            </w:r>
            <w:r>
              <w:rPr>
                <w:rFonts w:ascii="宋体" w:hAnsi="宋体"/>
                <w:kern w:val="0"/>
                <w:szCs w:val="21"/>
              </w:rPr>
              <w:t>59400</w:t>
            </w:r>
            <w:r>
              <w:rPr>
                <w:rFonts w:hint="eastAsia" w:ascii="宋体" w:hAnsi="宋体"/>
                <w:kern w:val="0"/>
                <w:szCs w:val="21"/>
              </w:rPr>
              <w:t>元</w:t>
            </w:r>
          </w:p>
        </w:tc>
      </w:tr>
    </w:tbl>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int="eastAsia" w:hAnsi="宋体"/>
          <w:b/>
          <w:bCs/>
          <w:sz w:val="21"/>
        </w:rPr>
        <w:t>项目预算</w:t>
      </w:r>
    </w:p>
    <w:p>
      <w:pPr>
        <w:pStyle w:val="6"/>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firstLine="420" w:firstLineChars="200"/>
        <w:jc w:val="left"/>
        <w:textAlignment w:val="auto"/>
        <w:rPr>
          <w:rFonts w:hAnsi="宋体"/>
          <w:b/>
          <w:bCs/>
          <w:sz w:val="21"/>
        </w:rPr>
      </w:pPr>
      <w:r>
        <w:rPr>
          <w:rFonts w:hAnsi="宋体"/>
          <w:sz w:val="21"/>
        </w:rPr>
        <w:t>预算经费约59400元（其中干预服务费900人次×60元/人次=54000元，检测服务费300人次×18元/人次=5400元，共计59400元），</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int="eastAsia" w:hAnsi="宋体"/>
          <w:b/>
          <w:bCs/>
          <w:sz w:val="21"/>
        </w:rPr>
        <w:t>项目目标</w:t>
      </w:r>
    </w:p>
    <w:p>
      <w:pPr>
        <w:pStyle w:val="6"/>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firstLine="420" w:firstLineChars="200"/>
        <w:jc w:val="left"/>
        <w:textAlignment w:val="auto"/>
        <w:rPr>
          <w:rFonts w:hAnsi="宋体" w:cstheme="minorBidi"/>
          <w:kern w:val="2"/>
          <w:sz w:val="21"/>
        </w:rPr>
      </w:pPr>
      <w:r>
        <w:rPr>
          <w:rFonts w:hint="eastAsia" w:hAnsi="宋体" w:cstheme="minorBidi"/>
          <w:kern w:val="2"/>
          <w:sz w:val="21"/>
        </w:rPr>
        <w:t>对珠海市高新区范围内的艾滋病重点防控人群——MSM人群进行宣传教育、行为分析及性行为干预并动员其接受HIV、梅毒和丙肝抗体检测，及早的发现潜在的感染者和已感染人群，对已经感染了的人群进行有效的转介治疗，从而降低已感染人群的传播能力，最终进一步扩大MSM干预覆盖面、提高预防干预服务质量、加大对高危人群检测力度，尽早发现潜在感染者、降低目标人群高危行为发生比例。</w:t>
      </w:r>
    </w:p>
    <w:p>
      <w:pPr>
        <w:pStyle w:val="6"/>
        <w:keepNext w:val="0"/>
        <w:keepLines w:val="0"/>
        <w:pageBreakBefore w:val="0"/>
        <w:numPr>
          <w:ilvl w:val="0"/>
          <w:numId w:val="16"/>
        </w:numPr>
        <w:tabs>
          <w:tab w:val="left" w:pos="540"/>
        </w:tabs>
        <w:kinsoku/>
        <w:wordWrap/>
        <w:overflowPunct/>
        <w:topLinePunct w:val="0"/>
        <w:autoSpaceDE/>
        <w:autoSpaceDN/>
        <w:bidi w:val="0"/>
        <w:adjustRightInd w:val="0"/>
        <w:snapToGrid w:val="0"/>
        <w:spacing w:line="360" w:lineRule="auto"/>
        <w:ind w:left="0" w:leftChars="0" w:firstLine="420" w:firstLineChars="200"/>
        <w:jc w:val="left"/>
        <w:textAlignment w:val="auto"/>
        <w:rPr>
          <w:rFonts w:hAnsi="宋体" w:cstheme="minorBidi"/>
          <w:kern w:val="2"/>
          <w:sz w:val="21"/>
        </w:rPr>
      </w:pPr>
      <w:r>
        <w:rPr>
          <w:rFonts w:hint="eastAsia" w:hAnsi="宋体" w:cstheme="minorBidi"/>
          <w:kern w:val="2"/>
          <w:sz w:val="21"/>
        </w:rPr>
        <w:t>扩大目标人群艾滋病及相关内容的干预效果，项目周期内采取网络在线或现场等方式干预目标人群不少于900人次；</w:t>
      </w:r>
    </w:p>
    <w:p>
      <w:pPr>
        <w:pStyle w:val="6"/>
        <w:keepNext w:val="0"/>
        <w:keepLines w:val="0"/>
        <w:pageBreakBefore w:val="0"/>
        <w:numPr>
          <w:ilvl w:val="0"/>
          <w:numId w:val="16"/>
        </w:numPr>
        <w:tabs>
          <w:tab w:val="left" w:pos="420"/>
          <w:tab w:val="left" w:pos="540"/>
        </w:tabs>
        <w:kinsoku/>
        <w:wordWrap/>
        <w:overflowPunct/>
        <w:topLinePunct w:val="0"/>
        <w:autoSpaceDE/>
        <w:autoSpaceDN/>
        <w:bidi w:val="0"/>
        <w:adjustRightInd w:val="0"/>
        <w:snapToGrid w:val="0"/>
        <w:spacing w:line="360" w:lineRule="auto"/>
        <w:ind w:left="0" w:leftChars="0" w:firstLine="420" w:firstLineChars="200"/>
        <w:jc w:val="left"/>
        <w:textAlignment w:val="auto"/>
        <w:rPr>
          <w:rFonts w:hAnsi="宋体" w:cstheme="minorEastAsia"/>
          <w:b/>
          <w:sz w:val="21"/>
        </w:rPr>
      </w:pPr>
      <w:r>
        <w:rPr>
          <w:rFonts w:hint="eastAsia" w:hAnsi="宋体" w:cstheme="minorBidi"/>
          <w:kern w:val="2"/>
          <w:sz w:val="21"/>
        </w:rPr>
        <w:t>通过骨干志愿者引导动员，促进不少于300名目标人群通过线下咨询检测或家中自我检测的方式进行HIV、梅毒和丙肝抗体检测并了解自身的感染状况。</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int="eastAsia" w:hAnsi="宋体"/>
          <w:b/>
          <w:bCs/>
          <w:sz w:val="21"/>
        </w:rPr>
        <w:t>项目内容</w:t>
      </w:r>
    </w:p>
    <w:p>
      <w:pPr>
        <w:pStyle w:val="20"/>
        <w:keepNext w:val="0"/>
        <w:keepLines w:val="0"/>
        <w:pageBreakBefore w:val="0"/>
        <w:numPr>
          <w:ilvl w:val="1"/>
          <w:numId w:val="17"/>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为目标人群提供以下干预内容：</w:t>
      </w:r>
    </w:p>
    <w:p>
      <w:pPr>
        <w:pStyle w:val="20"/>
        <w:keepNext w:val="0"/>
        <w:keepLines w:val="0"/>
        <w:pageBreakBefore w:val="0"/>
        <w:numPr>
          <w:ilvl w:val="3"/>
          <w:numId w:val="18"/>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干预</w:t>
      </w:r>
      <w:r>
        <w:rPr>
          <w:rFonts w:hint="eastAsia" w:ascii="宋体" w:hAnsi="宋体" w:cs="Times New Roman"/>
          <w:szCs w:val="21"/>
        </w:rPr>
        <w:t>措施</w:t>
      </w:r>
      <w:r>
        <w:rPr>
          <w:rFonts w:ascii="宋体" w:hAnsi="宋体" w:cs="Times New Roman"/>
          <w:szCs w:val="21"/>
        </w:rPr>
        <w:t>：采取在QQ群、微信平台及社交软件发布</w:t>
      </w:r>
      <w:r>
        <w:rPr>
          <w:rFonts w:hint="eastAsia" w:ascii="宋体" w:hAnsi="宋体" w:cs="Times New Roman"/>
          <w:szCs w:val="21"/>
        </w:rPr>
        <w:t>或现场宣传</w:t>
      </w:r>
      <w:r>
        <w:rPr>
          <w:rFonts w:ascii="宋体" w:hAnsi="宋体" w:cs="Times New Roman"/>
          <w:szCs w:val="21"/>
        </w:rPr>
        <w:t>艾滋病相关知识及检测信息的形式干预珠海市</w:t>
      </w:r>
      <w:r>
        <w:rPr>
          <w:rFonts w:hint="eastAsia" w:ascii="宋体" w:hAnsi="宋体" w:cs="Times New Roman"/>
          <w:szCs w:val="21"/>
        </w:rPr>
        <w:t>高新</w:t>
      </w:r>
      <w:r>
        <w:rPr>
          <w:rFonts w:ascii="宋体" w:hAnsi="宋体" w:cs="Times New Roman"/>
          <w:szCs w:val="21"/>
        </w:rPr>
        <w:t>区</w:t>
      </w:r>
      <w:r>
        <w:rPr>
          <w:rFonts w:hint="eastAsia" w:ascii="宋体" w:hAnsi="宋体" w:cs="Times New Roman"/>
          <w:szCs w:val="21"/>
        </w:rPr>
        <w:t>范围内</w:t>
      </w:r>
      <w:r>
        <w:rPr>
          <w:rFonts w:ascii="宋体" w:hAnsi="宋体" w:cs="Times New Roman"/>
          <w:szCs w:val="21"/>
        </w:rPr>
        <w:t>的男男性行为人群（MSM）</w:t>
      </w:r>
      <w:r>
        <w:rPr>
          <w:rFonts w:hint="eastAsia" w:ascii="宋体" w:hAnsi="宋体" w:cs="Times New Roman"/>
          <w:szCs w:val="21"/>
        </w:rPr>
        <w:t>不少于</w:t>
      </w:r>
      <w:r>
        <w:rPr>
          <w:rFonts w:ascii="宋体" w:hAnsi="宋体" w:cs="Times New Roman"/>
          <w:szCs w:val="21"/>
        </w:rPr>
        <w:t>900人次。</w:t>
      </w:r>
    </w:p>
    <w:p>
      <w:pPr>
        <w:pStyle w:val="20"/>
        <w:keepNext w:val="0"/>
        <w:keepLines w:val="0"/>
        <w:pageBreakBefore w:val="0"/>
        <w:numPr>
          <w:ilvl w:val="3"/>
          <w:numId w:val="18"/>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风险评估：</w:t>
      </w:r>
      <w:r>
        <w:rPr>
          <w:rFonts w:hint="eastAsia" w:ascii="宋体" w:hAnsi="宋体" w:cs="Times New Roman"/>
          <w:szCs w:val="21"/>
        </w:rPr>
        <w:t>对健康教育干预人群进行风险评估</w:t>
      </w:r>
      <w:r>
        <w:rPr>
          <w:rFonts w:ascii="宋体" w:hAnsi="宋体" w:cs="Times New Roman"/>
          <w:szCs w:val="21"/>
        </w:rPr>
        <w:t>，了解过往</w:t>
      </w:r>
      <w:r>
        <w:rPr>
          <w:rFonts w:hint="eastAsia" w:ascii="宋体" w:hAnsi="宋体" w:cs="Times New Roman"/>
          <w:szCs w:val="21"/>
        </w:rPr>
        <w:t>高危</w:t>
      </w:r>
      <w:r>
        <w:rPr>
          <w:rFonts w:ascii="宋体" w:hAnsi="宋体" w:cs="Times New Roman"/>
          <w:szCs w:val="21"/>
        </w:rPr>
        <w:t>行为风险</w:t>
      </w:r>
      <w:r>
        <w:rPr>
          <w:rFonts w:hint="eastAsia" w:ascii="宋体" w:hAnsi="宋体" w:cs="Times New Roman"/>
          <w:szCs w:val="21"/>
        </w:rPr>
        <w:t>，积极动员目标人群开展自我检测</w:t>
      </w:r>
      <w:r>
        <w:rPr>
          <w:rFonts w:ascii="宋体" w:hAnsi="宋体" w:cs="Times New Roman"/>
          <w:szCs w:val="21"/>
        </w:rPr>
        <w:t>。</w:t>
      </w:r>
    </w:p>
    <w:p>
      <w:pPr>
        <w:pStyle w:val="20"/>
        <w:keepNext w:val="0"/>
        <w:keepLines w:val="0"/>
        <w:pageBreakBefore w:val="0"/>
        <w:numPr>
          <w:ilvl w:val="3"/>
          <w:numId w:val="18"/>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线下咨询检测或家中自我检测：动员已经完成宣传干预的目标人群前往</w:t>
      </w:r>
      <w:r>
        <w:rPr>
          <w:rFonts w:hint="eastAsia" w:ascii="宋体" w:hAnsi="宋体" w:cs="Times New Roman"/>
          <w:szCs w:val="21"/>
        </w:rPr>
        <w:t>辖区VCT门诊</w:t>
      </w:r>
      <w:r>
        <w:rPr>
          <w:rFonts w:ascii="宋体" w:hAnsi="宋体" w:cs="Times New Roman"/>
          <w:szCs w:val="21"/>
        </w:rPr>
        <w:t>进行咨询检测或通过自我检测服务包的形式完成</w:t>
      </w:r>
      <w:r>
        <w:rPr>
          <w:rFonts w:hint="eastAsia" w:ascii="宋体" w:hAnsi="宋体" w:cs="Times New Roman"/>
          <w:szCs w:val="21"/>
        </w:rPr>
        <w:t>不少于</w:t>
      </w:r>
      <w:r>
        <w:rPr>
          <w:rFonts w:ascii="宋体" w:hAnsi="宋体" w:cs="Times New Roman"/>
          <w:szCs w:val="21"/>
        </w:rPr>
        <w:t>300名目标人群HIV、梅毒和丙肝抗体检测。</w:t>
      </w:r>
    </w:p>
    <w:p>
      <w:pPr>
        <w:pStyle w:val="20"/>
        <w:keepNext w:val="0"/>
        <w:keepLines w:val="0"/>
        <w:pageBreakBefore w:val="0"/>
        <w:numPr>
          <w:ilvl w:val="3"/>
          <w:numId w:val="18"/>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感染者转介跟踪：</w:t>
      </w:r>
    </w:p>
    <w:p>
      <w:pPr>
        <w:pStyle w:val="20"/>
        <w:keepNext w:val="0"/>
        <w:keepLines w:val="0"/>
        <w:pageBreakBefore w:val="0"/>
        <w:numPr>
          <w:ilvl w:val="0"/>
          <w:numId w:val="19"/>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通过专业人员一对一的跟踪随访，促进发现的HIV阳性人员尽早的进行抗体复测，HIV抗体阳性人员尽早的进行确证检测及抗病毒治疗，项目周期内动员新发现的HIV抗体阳性者进行HIV抗体确证检测，动员新发现的HIV抗体阳性者及早进行抗病毒治疗。</w:t>
      </w:r>
    </w:p>
    <w:p>
      <w:pPr>
        <w:pStyle w:val="20"/>
        <w:keepNext w:val="0"/>
        <w:keepLines w:val="0"/>
        <w:pageBreakBefore w:val="0"/>
        <w:numPr>
          <w:ilvl w:val="0"/>
          <w:numId w:val="19"/>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hint="eastAsia" w:ascii="宋体" w:hAnsi="宋体" w:cs="Times New Roman"/>
          <w:szCs w:val="21"/>
        </w:rPr>
        <w:t>引导梅毒、丙肝初筛阳性人员前往定点医疗机构开展确诊筛查。</w:t>
      </w:r>
    </w:p>
    <w:p>
      <w:pPr>
        <w:pStyle w:val="20"/>
        <w:keepNext w:val="0"/>
        <w:keepLines w:val="0"/>
        <w:pageBreakBefore w:val="0"/>
        <w:numPr>
          <w:ilvl w:val="1"/>
          <w:numId w:val="17"/>
        </w:numPr>
        <w:kinsoku/>
        <w:wordWrap/>
        <w:overflowPunct/>
        <w:topLinePunct w:val="0"/>
        <w:autoSpaceDE/>
        <w:autoSpaceDN/>
        <w:bidi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每月上报月干预情况数据电子报表、干预活动照片记录等，自我风险评估问卷数据（电子版），线下或线上咨询检测数据报表及相关记录，做好项目数据的保密工作，不得向无关人员透漏申请个人信息。</w:t>
      </w:r>
    </w:p>
    <w:p>
      <w:pPr>
        <w:pStyle w:val="20"/>
        <w:keepNext w:val="0"/>
        <w:keepLines w:val="0"/>
        <w:pageBreakBefore w:val="0"/>
        <w:numPr>
          <w:ilvl w:val="1"/>
          <w:numId w:val="17"/>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cs="Times New Roman"/>
          <w:szCs w:val="21"/>
        </w:rPr>
        <w:t>进度要求：</w:t>
      </w:r>
      <w:r>
        <w:rPr>
          <w:rFonts w:ascii="宋体" w:hAnsi="宋体"/>
          <w:szCs w:val="21"/>
        </w:rPr>
        <w:t>202</w:t>
      </w:r>
      <w:r>
        <w:rPr>
          <w:rFonts w:hint="eastAsia" w:ascii="宋体" w:hAnsi="宋体"/>
          <w:szCs w:val="21"/>
        </w:rPr>
        <w:t>5</w:t>
      </w:r>
      <w:r>
        <w:rPr>
          <w:rFonts w:ascii="宋体" w:hAnsi="宋体"/>
          <w:szCs w:val="21"/>
        </w:rPr>
        <w:t>年</w:t>
      </w:r>
      <w:r>
        <w:rPr>
          <w:rFonts w:hint="eastAsia" w:ascii="宋体" w:hAnsi="宋体"/>
          <w:szCs w:val="21"/>
        </w:rPr>
        <w:t>8</w:t>
      </w:r>
      <w:r>
        <w:rPr>
          <w:rFonts w:ascii="宋体" w:hAnsi="宋体"/>
          <w:szCs w:val="21"/>
        </w:rPr>
        <w:t>月</w:t>
      </w:r>
      <w:r>
        <w:rPr>
          <w:rFonts w:hint="eastAsia" w:ascii="宋体" w:hAnsi="宋体"/>
          <w:szCs w:val="21"/>
        </w:rPr>
        <w:t>31</w:t>
      </w:r>
      <w:r>
        <w:rPr>
          <w:rFonts w:ascii="宋体" w:hAnsi="宋体"/>
          <w:szCs w:val="21"/>
        </w:rPr>
        <w:t>日前</w:t>
      </w:r>
      <w:r>
        <w:rPr>
          <w:rFonts w:hint="eastAsia" w:ascii="宋体" w:hAnsi="宋体"/>
          <w:szCs w:val="21"/>
        </w:rPr>
        <w:t>，成交供应商要完成总项目任务量的80%或以上（干预不少于720人次，</w:t>
      </w:r>
      <w:r>
        <w:rPr>
          <w:rFonts w:ascii="宋体" w:hAnsi="宋体"/>
          <w:szCs w:val="21"/>
        </w:rPr>
        <w:t>线下咨询检测或家中自我</w:t>
      </w:r>
      <w:r>
        <w:rPr>
          <w:rFonts w:hint="eastAsia" w:ascii="宋体" w:hAnsi="宋体"/>
          <w:szCs w:val="21"/>
        </w:rPr>
        <w:t>检测不少于240人次）并提交阶段性工作报告，2025年10月31日前完成项目干预检测工作内容（</w:t>
      </w:r>
      <w:r>
        <w:rPr>
          <w:rFonts w:ascii="宋体" w:hAnsi="宋体" w:cs="Times New Roman"/>
          <w:szCs w:val="21"/>
        </w:rPr>
        <w:t>干预</w:t>
      </w:r>
      <w:r>
        <w:rPr>
          <w:rFonts w:hint="eastAsia" w:ascii="宋体" w:hAnsi="宋体" w:cs="Times New Roman"/>
          <w:szCs w:val="21"/>
        </w:rPr>
        <w:t>不少于</w:t>
      </w:r>
      <w:r>
        <w:rPr>
          <w:rFonts w:ascii="宋体" w:hAnsi="宋体" w:cs="Times New Roman"/>
          <w:szCs w:val="21"/>
        </w:rPr>
        <w:t>900人次</w:t>
      </w:r>
      <w:r>
        <w:rPr>
          <w:rFonts w:hint="eastAsia" w:ascii="宋体" w:hAnsi="宋体" w:cs="Times New Roman"/>
          <w:szCs w:val="21"/>
        </w:rPr>
        <w:t>和</w:t>
      </w:r>
      <w:r>
        <w:rPr>
          <w:rFonts w:ascii="宋体" w:hAnsi="宋体"/>
          <w:szCs w:val="21"/>
        </w:rPr>
        <w:t>线下咨询检测或家中自我</w:t>
      </w:r>
      <w:r>
        <w:rPr>
          <w:rFonts w:ascii="宋体" w:hAnsi="宋体" w:cs="Times New Roman"/>
          <w:szCs w:val="21"/>
        </w:rPr>
        <w:t>检测</w:t>
      </w:r>
      <w:r>
        <w:rPr>
          <w:rFonts w:hint="eastAsia" w:ascii="宋体" w:hAnsi="宋体" w:cs="Times New Roman"/>
          <w:szCs w:val="21"/>
        </w:rPr>
        <w:t>不少于</w:t>
      </w:r>
      <w:r>
        <w:rPr>
          <w:rFonts w:ascii="宋体" w:hAnsi="宋体" w:cs="Times New Roman"/>
          <w:szCs w:val="21"/>
        </w:rPr>
        <w:t>300名</w:t>
      </w:r>
      <w:r>
        <w:rPr>
          <w:rFonts w:hint="eastAsia" w:ascii="宋体" w:hAnsi="宋体"/>
          <w:szCs w:val="21"/>
        </w:rPr>
        <w:t>），并</w:t>
      </w:r>
      <w:r>
        <w:rPr>
          <w:rFonts w:ascii="宋体" w:hAnsi="宋体"/>
          <w:szCs w:val="21"/>
        </w:rPr>
        <w:t>提交工作总结。</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int="eastAsia" w:hAnsi="宋体"/>
          <w:b/>
          <w:bCs/>
          <w:sz w:val="21"/>
        </w:rPr>
        <w:t>项目管理团队</w:t>
      </w:r>
    </w:p>
    <w:p>
      <w:pPr>
        <w:pStyle w:val="20"/>
        <w:keepNext w:val="0"/>
        <w:keepLines w:val="0"/>
        <w:pageBreakBefore w:val="0"/>
        <w:numPr>
          <w:ilvl w:val="1"/>
          <w:numId w:val="20"/>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szCs w:val="21"/>
        </w:rPr>
      </w:pPr>
      <w:r>
        <w:rPr>
          <w:rFonts w:hint="eastAsia" w:ascii="宋体" w:hAnsi="宋体"/>
          <w:szCs w:val="21"/>
        </w:rPr>
        <w:t>管理经验：项目管理组织在近3年需有承接并从事过MSM人群艾滋病防治相关工作经验，能提供相关业绩合同证明材料。</w:t>
      </w:r>
    </w:p>
    <w:p>
      <w:pPr>
        <w:pStyle w:val="20"/>
        <w:keepNext w:val="0"/>
        <w:keepLines w:val="0"/>
        <w:pageBreakBefore w:val="0"/>
        <w:numPr>
          <w:ilvl w:val="1"/>
          <w:numId w:val="20"/>
        </w:numPr>
        <w:kinsoku/>
        <w:wordWrap/>
        <w:overflowPunct/>
        <w:topLinePunct w:val="0"/>
        <w:autoSpaceDE/>
        <w:autoSpaceDN/>
        <w:bidi w:val="0"/>
        <w:snapToGrid w:val="0"/>
        <w:spacing w:line="360" w:lineRule="auto"/>
        <w:ind w:left="0" w:leftChars="0" w:firstLine="420" w:firstLineChars="200"/>
        <w:jc w:val="left"/>
        <w:textAlignment w:val="auto"/>
        <w:rPr>
          <w:rFonts w:ascii="宋体" w:hAnsi="宋体"/>
          <w:szCs w:val="21"/>
        </w:rPr>
      </w:pPr>
      <w:r>
        <w:rPr>
          <w:rFonts w:hint="eastAsia" w:ascii="宋体" w:hAnsi="宋体"/>
          <w:szCs w:val="21"/>
        </w:rPr>
        <w:t>专业技术人员配置：响应供应商团队应不少于5人（直接从事干预项目不少于3人），且均具备医学相关背景和艾滋病防控工作经验，能提供相关工作佐证（如</w:t>
      </w:r>
      <w:r>
        <w:rPr>
          <w:spacing w:val="13"/>
          <w:szCs w:val="21"/>
        </w:rPr>
        <w:t>项目合同等能体现项目</w:t>
      </w:r>
      <w:r>
        <w:rPr>
          <w:rFonts w:hint="eastAsia"/>
          <w:spacing w:val="13"/>
          <w:szCs w:val="21"/>
        </w:rPr>
        <w:t>工作人员从事工作</w:t>
      </w:r>
      <w:r>
        <w:rPr>
          <w:spacing w:val="13"/>
          <w:szCs w:val="21"/>
        </w:rPr>
        <w:t>，</w:t>
      </w:r>
      <w:r>
        <w:rPr>
          <w:rFonts w:hint="eastAsia"/>
          <w:spacing w:val="13"/>
          <w:szCs w:val="21"/>
        </w:rPr>
        <w:t>若</w:t>
      </w:r>
      <w:r>
        <w:rPr>
          <w:spacing w:val="13"/>
          <w:szCs w:val="21"/>
        </w:rPr>
        <w:t>合同无体现人员信息可提供甲方出具的证明材料</w:t>
      </w:r>
      <w:r>
        <w:rPr>
          <w:rFonts w:hint="eastAsia" w:ascii="宋体" w:hAnsi="宋体"/>
          <w:szCs w:val="21"/>
        </w:rPr>
        <w:t>）。</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Ansi="宋体"/>
          <w:b/>
          <w:bCs/>
          <w:sz w:val="21"/>
        </w:rPr>
        <w:t>项目周期</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ascii="宋体" w:hAnsi="宋体" w:cs="Times New Roman"/>
          <w:szCs w:val="21"/>
        </w:rPr>
      </w:pPr>
      <w:r>
        <w:rPr>
          <w:rFonts w:ascii="宋体" w:hAnsi="宋体" w:cs="Times New Roman"/>
          <w:szCs w:val="21"/>
        </w:rPr>
        <w:t>自合同签订之日起</w:t>
      </w:r>
      <w:r>
        <w:rPr>
          <w:rFonts w:hint="eastAsia" w:ascii="宋体" w:hAnsi="宋体" w:cs="Times New Roman"/>
          <w:szCs w:val="21"/>
        </w:rPr>
        <w:t>至2025年10月31日达成项目目标，</w:t>
      </w:r>
      <w:r>
        <w:rPr>
          <w:rFonts w:ascii="宋体" w:hAnsi="宋体" w:cs="Times New Roman"/>
          <w:szCs w:val="21"/>
        </w:rPr>
        <w:t>提交工作总结报告。</w:t>
      </w:r>
      <w:r>
        <w:rPr>
          <w:rFonts w:hint="eastAsia" w:ascii="宋体" w:hAnsi="宋体" w:cs="Times New Roman"/>
          <w:szCs w:val="21"/>
        </w:rPr>
        <w:t>若项目进度提前完成，可按要求提前验收。</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int="eastAsia" w:hAnsi="宋体"/>
          <w:b/>
          <w:bCs/>
          <w:sz w:val="21"/>
        </w:rPr>
        <w:t>质量控制</w:t>
      </w:r>
    </w:p>
    <w:p>
      <w:pPr>
        <w:pStyle w:val="20"/>
        <w:keepNext w:val="0"/>
        <w:keepLines w:val="0"/>
        <w:pageBreakBefore w:val="0"/>
        <w:numPr>
          <w:ilvl w:val="1"/>
          <w:numId w:val="21"/>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资料核查：一是健康教育干预工作。成交供应商每月提交开展MSM目标人群健康教育干预资料，包括但不仅限于健康推文、健康讲座、宣传折页发放等工作照片、参与人数报表或参与人员名单等；二是干预检测工作。成交供应商每月提交开展MSM目标人群干预检测资料，包括但不仅限于VCT门诊服务记录、每日检测人员信息一览表（含检测结果）等资料；采购人每月组织对上述提交资料进行质量审核。</w:t>
      </w:r>
    </w:p>
    <w:p>
      <w:pPr>
        <w:pStyle w:val="20"/>
        <w:keepNext w:val="0"/>
        <w:keepLines w:val="0"/>
        <w:pageBreakBefore w:val="0"/>
        <w:numPr>
          <w:ilvl w:val="1"/>
          <w:numId w:val="21"/>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真实性核查：采购人每月组织开展真实性核查，重点抽取上月成交供应商提交MSM目标人群检测人数的10%开展电话随访，核实目标人群类型、检测真实性及转介情况。若发现真实性存疑个案，成交供应商应及时提供佐证并跟进沟通，及时给与采购人回应跟进情况。</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int="eastAsia" w:hAnsi="宋体"/>
          <w:b/>
          <w:bCs/>
          <w:sz w:val="21"/>
        </w:rPr>
        <w:t>违约责任</w:t>
      </w:r>
    </w:p>
    <w:p>
      <w:pPr>
        <w:pStyle w:val="20"/>
        <w:keepNext w:val="0"/>
        <w:keepLines w:val="0"/>
        <w:pageBreakBefore w:val="0"/>
        <w:numPr>
          <w:ilvl w:val="1"/>
          <w:numId w:val="22"/>
        </w:numPr>
        <w:kinsoku/>
        <w:wordWrap/>
        <w:overflowPunct/>
        <w:topLinePunct w:val="0"/>
        <w:autoSpaceDE/>
        <w:autoSpaceDN/>
        <w:bidi w:val="0"/>
        <w:spacing w:line="360" w:lineRule="auto"/>
        <w:ind w:left="0" w:leftChars="0" w:firstLine="420" w:firstLineChars="200"/>
        <w:jc w:val="left"/>
        <w:textAlignment w:val="auto"/>
        <w:rPr>
          <w:rFonts w:ascii="宋体" w:hAnsi="宋体"/>
          <w:bCs/>
          <w:szCs w:val="21"/>
        </w:rPr>
      </w:pPr>
      <w:r>
        <w:rPr>
          <w:rFonts w:hint="eastAsia" w:ascii="宋体" w:hAnsi="宋体"/>
          <w:bCs/>
          <w:szCs w:val="21"/>
        </w:rPr>
        <w:t>成交供应商交付的服务项目不符合项目需求书或本合同规定的要求，采购人有权拒收，并且成交供应商须向采购人支付本合同总价10%的违约金。</w:t>
      </w:r>
    </w:p>
    <w:p>
      <w:pPr>
        <w:pStyle w:val="20"/>
        <w:keepNext w:val="0"/>
        <w:keepLines w:val="0"/>
        <w:pageBreakBefore w:val="0"/>
        <w:widowControl/>
        <w:numPr>
          <w:ilvl w:val="1"/>
          <w:numId w:val="22"/>
        </w:numPr>
        <w:kinsoku/>
        <w:wordWrap/>
        <w:overflowPunct/>
        <w:topLinePunct w:val="0"/>
        <w:autoSpaceDE/>
        <w:autoSpaceDN/>
        <w:bidi w:val="0"/>
        <w:spacing w:line="360" w:lineRule="auto"/>
        <w:ind w:left="0" w:leftChars="0" w:firstLine="420" w:firstLineChars="200"/>
        <w:jc w:val="left"/>
        <w:textAlignment w:val="auto"/>
        <w:rPr>
          <w:rFonts w:ascii="宋体" w:hAnsi="宋体"/>
          <w:bCs/>
          <w:szCs w:val="21"/>
        </w:rPr>
      </w:pPr>
      <w:r>
        <w:rPr>
          <w:rFonts w:hint="eastAsia" w:ascii="宋体" w:hAnsi="宋体"/>
          <w:bCs/>
          <w:szCs w:val="21"/>
        </w:rPr>
        <w:t>采购人每月抽取成交供应商提交当月完成检测人数的10%开展质量核查，若发现目标人群否认检测且成交供应商无法提供合理解析，成交供应商应补充完成相应数量目标人群检测工作，补充工作所产生费用由成交供应商承担。若有3个月质量核查均发现上述情况，采购人有权单方面终止委托服务合同，同时成交供应商应退回采购人前期已支付的项目款，同时采购人有权追究成交供应商相应法律责任。</w:t>
      </w:r>
    </w:p>
    <w:p>
      <w:pPr>
        <w:pStyle w:val="6"/>
        <w:keepNext w:val="0"/>
        <w:keepLines w:val="0"/>
        <w:pageBreakBefore w:val="0"/>
        <w:numPr>
          <w:ilvl w:val="0"/>
          <w:numId w:val="15"/>
        </w:numPr>
        <w:tabs>
          <w:tab w:val="left" w:pos="540"/>
        </w:tabs>
        <w:kinsoku/>
        <w:wordWrap/>
        <w:overflowPunct/>
        <w:topLinePunct w:val="0"/>
        <w:autoSpaceDE/>
        <w:autoSpaceDN/>
        <w:bidi w:val="0"/>
        <w:adjustRightInd w:val="0"/>
        <w:snapToGrid w:val="0"/>
        <w:spacing w:line="360" w:lineRule="auto"/>
        <w:ind w:left="0" w:leftChars="0" w:firstLine="421" w:firstLineChars="200"/>
        <w:jc w:val="left"/>
        <w:textAlignment w:val="auto"/>
        <w:rPr>
          <w:rFonts w:hAnsi="宋体"/>
          <w:b/>
          <w:bCs/>
          <w:sz w:val="21"/>
        </w:rPr>
      </w:pPr>
      <w:r>
        <w:rPr>
          <w:rFonts w:hAnsi="宋体"/>
          <w:b/>
          <w:bCs/>
          <w:sz w:val="21"/>
        </w:rPr>
        <w:t>项目支付方式</w:t>
      </w:r>
      <w:r>
        <w:rPr>
          <w:rFonts w:hint="eastAsia" w:hAnsi="宋体"/>
          <w:b/>
          <w:bCs/>
          <w:sz w:val="21"/>
        </w:rPr>
        <w:t>及材料</w:t>
      </w:r>
    </w:p>
    <w:p>
      <w:pPr>
        <w:pStyle w:val="20"/>
        <w:keepNext w:val="0"/>
        <w:keepLines w:val="0"/>
        <w:pageBreakBefore w:val="0"/>
        <w:numPr>
          <w:ilvl w:val="1"/>
          <w:numId w:val="23"/>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ascii="宋体" w:hAnsi="宋体"/>
          <w:szCs w:val="21"/>
        </w:rPr>
        <w:t>分期付款</w:t>
      </w:r>
      <w:r>
        <w:rPr>
          <w:rFonts w:hint="eastAsia" w:ascii="宋体" w:hAnsi="宋体"/>
          <w:szCs w:val="21"/>
        </w:rPr>
        <w:t>。</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项目分三期完成付款，首期为</w:t>
      </w:r>
      <w:r>
        <w:rPr>
          <w:rFonts w:ascii="宋体" w:hAnsi="宋体"/>
          <w:szCs w:val="21"/>
        </w:rPr>
        <w:t>采购人与</w:t>
      </w:r>
      <w:r>
        <w:rPr>
          <w:rFonts w:hint="eastAsia" w:ascii="宋体" w:hAnsi="宋体"/>
          <w:szCs w:val="21"/>
        </w:rPr>
        <w:t>成交</w:t>
      </w:r>
      <w:r>
        <w:rPr>
          <w:rFonts w:ascii="宋体" w:hAnsi="宋体"/>
          <w:szCs w:val="21"/>
        </w:rPr>
        <w:t>供应商双方签订合同后</w:t>
      </w:r>
      <w:r>
        <w:rPr>
          <w:rFonts w:hint="eastAsia" w:ascii="宋体" w:hAnsi="宋体"/>
          <w:szCs w:val="21"/>
        </w:rPr>
        <w:t>,</w:t>
      </w:r>
      <w:r>
        <w:rPr>
          <w:rFonts w:ascii="宋体" w:hAnsi="宋体"/>
          <w:szCs w:val="21"/>
        </w:rPr>
        <w:t>采购人</w:t>
      </w:r>
      <w:r>
        <w:rPr>
          <w:rFonts w:hint="eastAsia" w:ascii="宋体" w:hAnsi="宋体"/>
          <w:szCs w:val="21"/>
        </w:rPr>
        <w:t>向供应商</w:t>
      </w:r>
      <w:r>
        <w:rPr>
          <w:rFonts w:ascii="宋体" w:hAnsi="宋体"/>
          <w:szCs w:val="21"/>
        </w:rPr>
        <w:t>预付合同款的</w:t>
      </w:r>
      <w:r>
        <w:rPr>
          <w:rFonts w:hint="eastAsia" w:ascii="宋体" w:hAnsi="宋体"/>
          <w:szCs w:val="21"/>
        </w:rPr>
        <w:t>30</w:t>
      </w:r>
      <w:r>
        <w:rPr>
          <w:rFonts w:ascii="宋体" w:hAnsi="宋体"/>
          <w:szCs w:val="21"/>
        </w:rPr>
        <w:t>%</w:t>
      </w:r>
      <w:r>
        <w:rPr>
          <w:rFonts w:hint="eastAsia" w:ascii="宋体" w:hAnsi="宋体"/>
          <w:szCs w:val="21"/>
        </w:rPr>
        <w:t>，作为项目启动经费</w:t>
      </w:r>
      <w:r>
        <w:rPr>
          <w:rFonts w:ascii="宋体" w:hAnsi="宋体"/>
          <w:szCs w:val="21"/>
        </w:rPr>
        <w:t>；</w:t>
      </w:r>
      <w:r>
        <w:rPr>
          <w:rFonts w:hint="eastAsia" w:ascii="宋体" w:hAnsi="宋体"/>
          <w:szCs w:val="21"/>
        </w:rPr>
        <w:t>第二期为</w:t>
      </w:r>
      <w:r>
        <w:rPr>
          <w:rFonts w:ascii="宋体" w:hAnsi="宋体"/>
          <w:szCs w:val="21"/>
        </w:rPr>
        <w:t>202</w:t>
      </w:r>
      <w:r>
        <w:rPr>
          <w:rFonts w:hint="eastAsia" w:ascii="宋体" w:hAnsi="宋体"/>
          <w:szCs w:val="21"/>
        </w:rPr>
        <w:t>5</w:t>
      </w:r>
      <w:r>
        <w:rPr>
          <w:rFonts w:ascii="宋体" w:hAnsi="宋体"/>
          <w:szCs w:val="21"/>
        </w:rPr>
        <w:t>年</w:t>
      </w:r>
      <w:r>
        <w:rPr>
          <w:rFonts w:hint="eastAsia" w:ascii="宋体" w:hAnsi="宋体"/>
          <w:szCs w:val="21"/>
        </w:rPr>
        <w:t>8</w:t>
      </w:r>
      <w:r>
        <w:rPr>
          <w:rFonts w:ascii="宋体" w:hAnsi="宋体"/>
          <w:szCs w:val="21"/>
        </w:rPr>
        <w:t>月</w:t>
      </w:r>
      <w:r>
        <w:rPr>
          <w:rFonts w:hint="eastAsia" w:ascii="宋体" w:hAnsi="宋体"/>
          <w:szCs w:val="21"/>
        </w:rPr>
        <w:t>31</w:t>
      </w:r>
      <w:r>
        <w:rPr>
          <w:rFonts w:ascii="宋体" w:hAnsi="宋体"/>
          <w:szCs w:val="21"/>
        </w:rPr>
        <w:t>日</w:t>
      </w:r>
      <w:r>
        <w:rPr>
          <w:rFonts w:hint="eastAsia" w:ascii="宋体" w:hAnsi="宋体"/>
          <w:szCs w:val="21"/>
        </w:rPr>
        <w:t>前成交供应商</w:t>
      </w:r>
      <w:r>
        <w:rPr>
          <w:rFonts w:ascii="宋体" w:hAnsi="宋体"/>
          <w:szCs w:val="21"/>
        </w:rPr>
        <w:t>向</w:t>
      </w:r>
      <w:r>
        <w:rPr>
          <w:rFonts w:hint="eastAsia" w:ascii="宋体" w:hAnsi="宋体"/>
          <w:szCs w:val="21"/>
        </w:rPr>
        <w:t>采购人</w:t>
      </w:r>
      <w:r>
        <w:rPr>
          <w:rFonts w:ascii="宋体" w:hAnsi="宋体"/>
          <w:szCs w:val="21"/>
        </w:rPr>
        <w:t>提交工作进展</w:t>
      </w:r>
      <w:r>
        <w:rPr>
          <w:rFonts w:hint="eastAsia" w:ascii="宋体" w:hAnsi="宋体"/>
          <w:szCs w:val="21"/>
        </w:rPr>
        <w:t>阶段性</w:t>
      </w:r>
      <w:r>
        <w:rPr>
          <w:rFonts w:ascii="宋体" w:hAnsi="宋体"/>
          <w:szCs w:val="21"/>
        </w:rPr>
        <w:t>报告且工作内容</w:t>
      </w:r>
      <w:r>
        <w:rPr>
          <w:rFonts w:hint="eastAsia" w:ascii="宋体" w:hAnsi="宋体"/>
          <w:szCs w:val="21"/>
        </w:rPr>
        <w:t>不少于总项目任务数的80%（</w:t>
      </w:r>
      <w:r>
        <w:rPr>
          <w:rFonts w:ascii="宋体" w:hAnsi="宋体"/>
          <w:szCs w:val="21"/>
        </w:rPr>
        <w:t>干预</w:t>
      </w:r>
      <w:r>
        <w:rPr>
          <w:rFonts w:hint="eastAsia" w:ascii="宋体" w:hAnsi="宋体"/>
          <w:szCs w:val="21"/>
        </w:rPr>
        <w:t>不少于270</w:t>
      </w:r>
      <w:r>
        <w:rPr>
          <w:rFonts w:ascii="宋体" w:hAnsi="宋体"/>
          <w:szCs w:val="21"/>
        </w:rPr>
        <w:t>人次</w:t>
      </w:r>
      <w:r>
        <w:rPr>
          <w:rFonts w:hint="eastAsia" w:ascii="宋体" w:hAnsi="宋体"/>
          <w:szCs w:val="21"/>
        </w:rPr>
        <w:t>；</w:t>
      </w:r>
      <w:r>
        <w:rPr>
          <w:rFonts w:ascii="宋体" w:hAnsi="宋体"/>
          <w:szCs w:val="21"/>
        </w:rPr>
        <w:t>线下咨询检测或家中自我检测</w:t>
      </w:r>
      <w:r>
        <w:rPr>
          <w:rFonts w:hint="eastAsia" w:ascii="宋体" w:hAnsi="宋体"/>
          <w:szCs w:val="21"/>
        </w:rPr>
        <w:t>不少于90人次）</w:t>
      </w:r>
      <w:r>
        <w:rPr>
          <w:rFonts w:ascii="宋体" w:hAnsi="宋体"/>
          <w:szCs w:val="21"/>
        </w:rPr>
        <w:t>时，经</w:t>
      </w:r>
      <w:r>
        <w:rPr>
          <w:rFonts w:hint="eastAsia" w:ascii="宋体" w:hAnsi="宋体"/>
          <w:szCs w:val="21"/>
        </w:rPr>
        <w:t>采购人验收</w:t>
      </w:r>
      <w:r>
        <w:rPr>
          <w:rFonts w:ascii="宋体" w:hAnsi="宋体"/>
          <w:szCs w:val="21"/>
        </w:rPr>
        <w:t>通过后无息支付合同</w:t>
      </w:r>
      <w:r>
        <w:rPr>
          <w:rFonts w:hint="eastAsia" w:ascii="宋体" w:hAnsi="宋体"/>
          <w:szCs w:val="21"/>
        </w:rPr>
        <w:t>款的30%；第三期为2025年10月31日前完成总项目任务数，提交项目总结报告，经验收通过后无息支付合同款的40%</w:t>
      </w:r>
      <w:r>
        <w:rPr>
          <w:rFonts w:ascii="宋体" w:hAnsi="宋体"/>
          <w:szCs w:val="21"/>
        </w:rPr>
        <w:t>。</w:t>
      </w:r>
    </w:p>
    <w:p>
      <w:pPr>
        <w:pStyle w:val="20"/>
        <w:keepNext w:val="0"/>
        <w:keepLines w:val="0"/>
        <w:pageBreakBefore w:val="0"/>
        <w:numPr>
          <w:ilvl w:val="1"/>
          <w:numId w:val="23"/>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结算材料。</w:t>
      </w:r>
    </w:p>
    <w:p>
      <w:pPr>
        <w:pStyle w:val="20"/>
        <w:keepNext w:val="0"/>
        <w:keepLines w:val="0"/>
        <w:pageBreakBefore w:val="0"/>
        <w:numPr>
          <w:ilvl w:val="3"/>
          <w:numId w:val="24"/>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合同；</w:t>
      </w:r>
    </w:p>
    <w:p>
      <w:pPr>
        <w:pStyle w:val="20"/>
        <w:keepNext w:val="0"/>
        <w:keepLines w:val="0"/>
        <w:pageBreakBefore w:val="0"/>
        <w:numPr>
          <w:ilvl w:val="3"/>
          <w:numId w:val="24"/>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成交供应商开具的正式发票；</w:t>
      </w:r>
    </w:p>
    <w:p>
      <w:pPr>
        <w:pStyle w:val="20"/>
        <w:keepNext w:val="0"/>
        <w:keepLines w:val="0"/>
        <w:pageBreakBefore w:val="0"/>
        <w:numPr>
          <w:ilvl w:val="3"/>
          <w:numId w:val="24"/>
        </w:numPr>
        <w:kinsoku/>
        <w:wordWrap/>
        <w:overflowPunct/>
        <w:topLinePunct w:val="0"/>
        <w:autoSpaceDE/>
        <w:autoSpaceDN/>
        <w:bidi w:val="0"/>
        <w:spacing w:line="360" w:lineRule="auto"/>
        <w:ind w:left="0" w:leftChars="0" w:firstLine="420" w:firstLineChars="200"/>
        <w:jc w:val="left"/>
        <w:textAlignment w:val="auto"/>
        <w:rPr>
          <w:rFonts w:ascii="宋体" w:hAnsi="宋体"/>
          <w:szCs w:val="21"/>
        </w:rPr>
      </w:pPr>
      <w:r>
        <w:rPr>
          <w:rFonts w:hint="eastAsia" w:ascii="宋体" w:hAnsi="宋体"/>
          <w:szCs w:val="21"/>
        </w:rPr>
        <w:t>第二期和第三期结算时提供工作量报表（需加盖公章）</w:t>
      </w:r>
    </w:p>
    <w:p>
      <w:pPr>
        <w:pStyle w:val="6"/>
        <w:numPr>
          <w:ilvl w:val="0"/>
          <w:numId w:val="25"/>
        </w:numPr>
        <w:tabs>
          <w:tab w:val="left" w:pos="420"/>
          <w:tab w:val="left" w:pos="540"/>
        </w:tabs>
        <w:adjustRightInd w:val="0"/>
        <w:snapToGrid w:val="0"/>
        <w:spacing w:line="360" w:lineRule="auto"/>
        <w:rPr>
          <w:rFonts w:hAnsi="宋体" w:cs="仿宋"/>
          <w:b/>
          <w:bCs/>
          <w:sz w:val="21"/>
        </w:rPr>
      </w:pPr>
      <w:r>
        <w:rPr>
          <w:rFonts w:hint="eastAsia" w:hAnsi="宋体" w:cs="仿宋"/>
          <w:b/>
          <w:bCs/>
          <w:sz w:val="21"/>
        </w:rPr>
        <w:t>评分标准</w:t>
      </w:r>
    </w:p>
    <w:p>
      <w:pPr>
        <w:rPr>
          <w:b/>
          <w:bCs/>
        </w:rPr>
      </w:pPr>
      <w:r>
        <w:rPr>
          <w:rFonts w:hint="eastAsia"/>
          <w:b/>
          <w:bCs/>
        </w:rPr>
        <w:t>本次采用综合评分法。评审以文件规定的条件为依据。评分比重构成如下：</w:t>
      </w:r>
    </w:p>
    <w:tbl>
      <w:tblPr>
        <w:tblStyle w:val="13"/>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9"/>
        <w:gridCol w:w="2580"/>
        <w:gridCol w:w="2314"/>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评分项目</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技术部分</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商务部分</w:t>
            </w:r>
          </w:p>
        </w:tc>
        <w:tc>
          <w:tcPr>
            <w:tcW w:w="1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分值</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50分</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40分</w:t>
            </w:r>
          </w:p>
        </w:tc>
        <w:tc>
          <w:tcPr>
            <w:tcW w:w="1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10分</w:t>
            </w:r>
          </w:p>
        </w:tc>
      </w:tr>
    </w:tbl>
    <w:p>
      <w:pPr>
        <w:pStyle w:val="6"/>
        <w:tabs>
          <w:tab w:val="left" w:pos="540"/>
        </w:tabs>
        <w:adjustRightInd w:val="0"/>
        <w:snapToGrid w:val="0"/>
        <w:spacing w:line="360" w:lineRule="auto"/>
        <w:rPr>
          <w:rFonts w:hAnsi="宋体" w:cs="仿宋"/>
          <w:b/>
          <w:bCs/>
        </w:rPr>
      </w:pPr>
    </w:p>
    <w:tbl>
      <w:tblPr>
        <w:tblStyle w:val="13"/>
        <w:tblW w:w="8662"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4894"/>
        <w:gridCol w:w="766"/>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851" w:type="dxa"/>
            <w:vAlign w:val="center"/>
          </w:tcPr>
          <w:p>
            <w:pPr>
              <w:snapToGrid w:val="0"/>
              <w:ind w:left="-78" w:leftChars="-37" w:right="-73" w:rightChars="-35"/>
              <w:jc w:val="center"/>
              <w:rPr>
                <w:rFonts w:ascii="宋体" w:hAnsi="宋体"/>
                <w:b/>
                <w:szCs w:val="21"/>
              </w:rPr>
            </w:pPr>
            <w:r>
              <w:rPr>
                <w:rFonts w:hint="eastAsia" w:ascii="宋体" w:hAnsi="宋体"/>
                <w:b/>
                <w:szCs w:val="21"/>
              </w:rPr>
              <w:t>序号</w:t>
            </w:r>
          </w:p>
        </w:tc>
        <w:tc>
          <w:tcPr>
            <w:tcW w:w="1276" w:type="dxa"/>
            <w:vAlign w:val="center"/>
          </w:tcPr>
          <w:p>
            <w:pPr>
              <w:snapToGrid w:val="0"/>
              <w:ind w:left="-78" w:leftChars="-37" w:right="-73" w:rightChars="-35"/>
              <w:jc w:val="center"/>
              <w:rPr>
                <w:rFonts w:ascii="宋体" w:hAnsi="宋体"/>
                <w:b/>
                <w:szCs w:val="21"/>
              </w:rPr>
            </w:pPr>
            <w:r>
              <w:rPr>
                <w:rFonts w:hint="eastAsia" w:ascii="宋体" w:hAnsi="宋体"/>
                <w:b/>
                <w:szCs w:val="21"/>
              </w:rPr>
              <w:t>评审因素</w:t>
            </w:r>
          </w:p>
        </w:tc>
        <w:tc>
          <w:tcPr>
            <w:tcW w:w="4894" w:type="dxa"/>
            <w:vAlign w:val="center"/>
          </w:tcPr>
          <w:p>
            <w:pPr>
              <w:snapToGrid w:val="0"/>
              <w:ind w:left="-78" w:leftChars="-37" w:right="-73" w:rightChars="-35"/>
              <w:jc w:val="center"/>
              <w:rPr>
                <w:rFonts w:ascii="宋体" w:hAnsi="宋体"/>
                <w:b/>
                <w:szCs w:val="21"/>
              </w:rPr>
            </w:pPr>
            <w:r>
              <w:rPr>
                <w:rFonts w:hint="eastAsia" w:ascii="宋体" w:hAnsi="宋体"/>
                <w:b/>
                <w:szCs w:val="21"/>
              </w:rPr>
              <w:t>评分细则</w:t>
            </w:r>
          </w:p>
        </w:tc>
        <w:tc>
          <w:tcPr>
            <w:tcW w:w="766" w:type="dxa"/>
            <w:vAlign w:val="center"/>
          </w:tcPr>
          <w:p>
            <w:pPr>
              <w:jc w:val="center"/>
              <w:rPr>
                <w:rFonts w:ascii="宋体" w:hAnsi="宋体"/>
                <w:b/>
                <w:szCs w:val="21"/>
              </w:rPr>
            </w:pPr>
            <w:r>
              <w:rPr>
                <w:rFonts w:ascii="宋体" w:hAnsi="宋体"/>
                <w:b/>
                <w:szCs w:val="21"/>
              </w:rPr>
              <w:t>权重（%）</w:t>
            </w:r>
          </w:p>
        </w:tc>
        <w:tc>
          <w:tcPr>
            <w:tcW w:w="875" w:type="dxa"/>
            <w:vAlign w:val="center"/>
          </w:tcPr>
          <w:p>
            <w:pPr>
              <w:jc w:val="center"/>
              <w:rPr>
                <w:rFonts w:ascii="宋体" w:hAnsi="宋体"/>
                <w:b/>
                <w:szCs w:val="21"/>
              </w:rPr>
            </w:pPr>
            <w:r>
              <w:rPr>
                <w:rFonts w:ascii="宋体" w:hAnsi="宋体"/>
                <w:b/>
                <w:szCs w:val="21"/>
              </w:rPr>
              <w:t>分值（分）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851" w:type="dxa"/>
            <w:vAlign w:val="center"/>
          </w:tcPr>
          <w:p>
            <w:pPr>
              <w:snapToGrid w:val="0"/>
              <w:ind w:left="-78" w:leftChars="-37" w:right="-73" w:rightChars="-35"/>
              <w:jc w:val="center"/>
              <w:rPr>
                <w:rFonts w:ascii="宋体" w:hAnsi="宋体"/>
                <w:szCs w:val="21"/>
              </w:rPr>
            </w:pPr>
            <w:r>
              <w:rPr>
                <w:rFonts w:hint="eastAsia" w:ascii="宋体" w:hAnsi="宋体"/>
                <w:szCs w:val="21"/>
              </w:rPr>
              <w:t>一</w:t>
            </w:r>
          </w:p>
        </w:tc>
        <w:tc>
          <w:tcPr>
            <w:tcW w:w="7811" w:type="dxa"/>
            <w:gridSpan w:val="4"/>
            <w:vAlign w:val="center"/>
          </w:tcPr>
          <w:p>
            <w:pPr>
              <w:snapToGrid w:val="0"/>
              <w:ind w:left="-78" w:leftChars="-37" w:right="-73" w:rightChars="-35"/>
              <w:jc w:val="center"/>
              <w:rPr>
                <w:rFonts w:ascii="宋体" w:hAnsi="宋体"/>
                <w:b/>
                <w:szCs w:val="21"/>
              </w:rPr>
            </w:pPr>
            <w:r>
              <w:rPr>
                <w:rFonts w:hint="eastAsia" w:ascii="宋体" w:hAnsi="宋体"/>
                <w:b/>
                <w:szCs w:val="21"/>
              </w:rPr>
              <w:t>技术部分（合计50分）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 w:hRule="atLeast"/>
        </w:trPr>
        <w:tc>
          <w:tcPr>
            <w:tcW w:w="851" w:type="dxa"/>
            <w:vAlign w:val="center"/>
          </w:tcPr>
          <w:p>
            <w:pPr>
              <w:pStyle w:val="34"/>
              <w:numPr>
                <w:ilvl w:val="0"/>
                <w:numId w:val="26"/>
              </w:numPr>
              <w:snapToGrid w:val="0"/>
              <w:ind w:firstLineChars="0"/>
              <w:jc w:val="center"/>
              <w:rPr>
                <w:rFonts w:ascii="宋体" w:hAnsi="宋体" w:eastAsia="宋体"/>
                <w:sz w:val="21"/>
                <w:szCs w:val="21"/>
              </w:rPr>
            </w:pPr>
          </w:p>
        </w:tc>
        <w:tc>
          <w:tcPr>
            <w:tcW w:w="1276" w:type="dxa"/>
            <w:vAlign w:val="center"/>
          </w:tcPr>
          <w:p>
            <w:pPr>
              <w:jc w:val="center"/>
              <w:rPr>
                <w:rFonts w:ascii="宋体" w:hAnsi="宋体"/>
                <w:strike/>
                <w:szCs w:val="21"/>
              </w:rPr>
            </w:pPr>
            <w:r>
              <w:rPr>
                <w:rFonts w:hint="eastAsia" w:ascii="宋体" w:hAnsi="宋体"/>
                <w:szCs w:val="21"/>
                <w:lang w:bidi="ar"/>
              </w:rPr>
              <w:t>对项目的熟悉和了解程度</w:t>
            </w:r>
          </w:p>
        </w:tc>
        <w:tc>
          <w:tcPr>
            <w:tcW w:w="4894" w:type="dxa"/>
            <w:tcBorders>
              <w:top w:val="single" w:color="auto" w:sz="6" w:space="0"/>
              <w:bottom w:val="single" w:color="auto" w:sz="4" w:space="0"/>
            </w:tcBorders>
            <w:vAlign w:val="center"/>
          </w:tcPr>
          <w:p>
            <w:pPr>
              <w:spacing w:line="360" w:lineRule="auto"/>
              <w:rPr>
                <w:rFonts w:ascii="宋体" w:hAnsi="宋体"/>
              </w:rPr>
            </w:pPr>
            <w:r>
              <w:rPr>
                <w:rFonts w:hint="eastAsia" w:ascii="宋体" w:hAnsi="宋体"/>
              </w:rPr>
              <w:t>根据响应供应商对项目背景、意义的熟悉和了解是否到位进行评审：</w:t>
            </w:r>
          </w:p>
          <w:p>
            <w:pPr>
              <w:spacing w:line="360" w:lineRule="auto"/>
              <w:rPr>
                <w:rFonts w:ascii="宋体" w:hAnsi="宋体"/>
              </w:rPr>
            </w:pPr>
            <w:r>
              <w:rPr>
                <w:rFonts w:hint="eastAsia" w:ascii="宋体" w:hAnsi="宋体"/>
              </w:rPr>
              <w:t>1.对项目背景、意义熟悉透彻，认识和了解到位的，得15分。</w:t>
            </w:r>
          </w:p>
          <w:p>
            <w:pPr>
              <w:spacing w:line="360" w:lineRule="auto"/>
              <w:rPr>
                <w:rFonts w:ascii="宋体" w:hAnsi="宋体"/>
              </w:rPr>
            </w:pPr>
            <w:r>
              <w:rPr>
                <w:rFonts w:hint="eastAsia" w:ascii="宋体" w:hAnsi="宋体"/>
              </w:rPr>
              <w:t>2.对项目背景、意义比较熟悉和了解的，得10分。</w:t>
            </w:r>
          </w:p>
          <w:p>
            <w:pPr>
              <w:spacing w:line="360" w:lineRule="auto"/>
              <w:rPr>
                <w:rFonts w:ascii="宋体" w:hAnsi="宋体"/>
              </w:rPr>
            </w:pPr>
            <w:r>
              <w:rPr>
                <w:rFonts w:hint="eastAsia" w:ascii="宋体" w:hAnsi="宋体"/>
              </w:rPr>
              <w:t>3.对项目背景、意义基本熟悉的，得5分。</w:t>
            </w:r>
          </w:p>
          <w:p>
            <w:pPr>
              <w:spacing w:line="360" w:lineRule="auto"/>
              <w:rPr>
                <w:rFonts w:ascii="宋体" w:hAnsi="宋体"/>
              </w:rPr>
            </w:pPr>
            <w:r>
              <w:rPr>
                <w:rFonts w:hint="eastAsia" w:ascii="宋体" w:hAnsi="宋体"/>
              </w:rPr>
              <w:t>4.对项目背景、意义不熟悉的，得1分。</w:t>
            </w:r>
          </w:p>
          <w:p>
            <w:pPr>
              <w:spacing w:line="360" w:lineRule="auto"/>
            </w:pPr>
            <w:r>
              <w:rPr>
                <w:rFonts w:hint="eastAsia" w:ascii="宋体" w:hAnsi="宋体"/>
              </w:rPr>
              <w:t>5.未提供对项目的熟悉和了解的得0分。</w:t>
            </w:r>
          </w:p>
        </w:tc>
        <w:tc>
          <w:tcPr>
            <w:tcW w:w="766" w:type="dxa"/>
            <w:tcBorders>
              <w:bottom w:val="single" w:color="auto" w:sz="4" w:space="0"/>
            </w:tcBorders>
            <w:vAlign w:val="center"/>
          </w:tcPr>
          <w:p>
            <w:pPr>
              <w:jc w:val="center"/>
              <w:rPr>
                <w:rFonts w:ascii="宋体" w:hAnsi="宋体"/>
                <w:szCs w:val="21"/>
              </w:rPr>
            </w:pPr>
            <w:r>
              <w:rPr>
                <w:rFonts w:hint="eastAsia" w:ascii="宋体" w:hAnsi="宋体"/>
                <w:szCs w:val="21"/>
              </w:rPr>
              <w:t>15</w:t>
            </w:r>
          </w:p>
        </w:tc>
        <w:tc>
          <w:tcPr>
            <w:tcW w:w="875" w:type="dxa"/>
            <w:tcBorders>
              <w:bottom w:val="single" w:color="auto" w:sz="4" w:space="0"/>
            </w:tcBorders>
            <w:vAlign w:val="center"/>
          </w:tcPr>
          <w:p>
            <w:pPr>
              <w:jc w:val="center"/>
              <w:rPr>
                <w:rFonts w:ascii="宋体" w:hAnsi="宋体"/>
                <w:szCs w:val="21"/>
              </w:rPr>
            </w:pPr>
            <w:r>
              <w:rPr>
                <w:rFonts w:hint="eastAsia" w:ascii="宋体" w:hAnsi="宋体"/>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851" w:type="dxa"/>
            <w:vAlign w:val="center"/>
          </w:tcPr>
          <w:p>
            <w:pPr>
              <w:pStyle w:val="34"/>
              <w:numPr>
                <w:ilvl w:val="0"/>
                <w:numId w:val="26"/>
              </w:numPr>
              <w:snapToGrid w:val="0"/>
              <w:ind w:firstLineChars="0"/>
              <w:jc w:val="center"/>
              <w:rPr>
                <w:rFonts w:ascii="宋体" w:hAnsi="宋体" w:eastAsia="宋体"/>
                <w:sz w:val="21"/>
                <w:szCs w:val="21"/>
              </w:rPr>
            </w:pPr>
          </w:p>
        </w:tc>
        <w:tc>
          <w:tcPr>
            <w:tcW w:w="1276" w:type="dxa"/>
            <w:vAlign w:val="center"/>
          </w:tcPr>
          <w:p>
            <w:pPr>
              <w:jc w:val="center"/>
              <w:rPr>
                <w:rFonts w:ascii="宋体" w:hAnsi="宋体"/>
                <w:spacing w:val="-20"/>
                <w:szCs w:val="21"/>
              </w:rPr>
            </w:pPr>
            <w:r>
              <w:rPr>
                <w:rFonts w:ascii="宋体" w:hAnsi="宋体"/>
                <w:spacing w:val="7"/>
                <w:szCs w:val="21"/>
              </w:rPr>
              <w:t>工作计划</w:t>
            </w:r>
          </w:p>
        </w:tc>
        <w:tc>
          <w:tcPr>
            <w:tcW w:w="4894" w:type="dxa"/>
            <w:vAlign w:val="center"/>
          </w:tcPr>
          <w:p>
            <w:pPr>
              <w:spacing w:line="360" w:lineRule="auto"/>
              <w:rPr>
                <w:rFonts w:ascii="宋体" w:hAnsi="宋体"/>
                <w:szCs w:val="21"/>
                <w:lang w:bidi="ar"/>
              </w:rPr>
            </w:pPr>
            <w:r>
              <w:rPr>
                <w:rFonts w:hint="eastAsia" w:ascii="宋体" w:hAnsi="宋体"/>
                <w:szCs w:val="21"/>
                <w:lang w:bidi="ar"/>
              </w:rPr>
              <w:t>根据响应供应商的工作计划进行评审：</w:t>
            </w:r>
          </w:p>
          <w:p>
            <w:pPr>
              <w:spacing w:line="360" w:lineRule="auto"/>
              <w:rPr>
                <w:rFonts w:ascii="宋体" w:hAnsi="宋体"/>
                <w:szCs w:val="21"/>
                <w:lang w:bidi="ar"/>
              </w:rPr>
            </w:pPr>
            <w:r>
              <w:rPr>
                <w:rFonts w:hint="eastAsia" w:ascii="宋体" w:hAnsi="宋体"/>
                <w:szCs w:val="21"/>
                <w:lang w:bidi="ar"/>
              </w:rPr>
              <w:t>1.工序组织切实可行，质量管理把控严格，效率管理合理高效，以上全部满足的，得10分。</w:t>
            </w:r>
          </w:p>
          <w:p>
            <w:pPr>
              <w:spacing w:line="360" w:lineRule="auto"/>
              <w:rPr>
                <w:rFonts w:ascii="宋体" w:hAnsi="宋体"/>
                <w:szCs w:val="21"/>
                <w:lang w:bidi="ar"/>
              </w:rPr>
            </w:pPr>
            <w:r>
              <w:rPr>
                <w:rFonts w:hint="eastAsia" w:ascii="宋体" w:hAnsi="宋体"/>
                <w:szCs w:val="21"/>
                <w:lang w:bidi="ar"/>
              </w:rPr>
              <w:t>2.工序组织切实可行，质量管理把控严格，效率管理合理高效，满足其中两项的，得7分。</w:t>
            </w:r>
          </w:p>
          <w:p>
            <w:pPr>
              <w:spacing w:line="360" w:lineRule="auto"/>
              <w:rPr>
                <w:rFonts w:ascii="宋体" w:hAnsi="宋体"/>
                <w:szCs w:val="21"/>
                <w:lang w:bidi="ar"/>
              </w:rPr>
            </w:pPr>
            <w:r>
              <w:rPr>
                <w:rFonts w:hint="eastAsia" w:ascii="宋体" w:hAnsi="宋体"/>
                <w:szCs w:val="21"/>
                <w:lang w:bidi="ar"/>
              </w:rPr>
              <w:t>3.工序组织切实可行，质量管理把控严格，效率管理合理高效，满足其中一项的，得4分。</w:t>
            </w:r>
          </w:p>
          <w:p>
            <w:pPr>
              <w:snapToGrid w:val="0"/>
              <w:spacing w:line="360" w:lineRule="auto"/>
              <w:rPr>
                <w:rFonts w:ascii="宋体" w:hAnsi="宋体"/>
                <w:szCs w:val="21"/>
              </w:rPr>
            </w:pPr>
            <w:r>
              <w:rPr>
                <w:rFonts w:hint="eastAsia" w:ascii="宋体" w:hAnsi="宋体"/>
                <w:szCs w:val="21"/>
                <w:lang w:bidi="ar"/>
              </w:rPr>
              <w:t>4.均不满足或未提供工作计划的得0分。</w:t>
            </w:r>
          </w:p>
        </w:tc>
        <w:tc>
          <w:tcPr>
            <w:tcW w:w="766" w:type="dxa"/>
            <w:vAlign w:val="center"/>
          </w:tcPr>
          <w:p>
            <w:pPr>
              <w:jc w:val="center"/>
              <w:rPr>
                <w:rFonts w:ascii="宋体" w:hAnsi="宋体"/>
                <w:szCs w:val="21"/>
              </w:rPr>
            </w:pPr>
            <w:r>
              <w:rPr>
                <w:rFonts w:hint="eastAsia" w:ascii="宋体" w:hAnsi="宋体"/>
                <w:szCs w:val="21"/>
              </w:rPr>
              <w:t>10</w:t>
            </w:r>
          </w:p>
        </w:tc>
        <w:tc>
          <w:tcPr>
            <w:tcW w:w="875" w:type="dxa"/>
            <w:vAlign w:val="center"/>
          </w:tcPr>
          <w:p>
            <w:pPr>
              <w:jc w:val="center"/>
              <w:rPr>
                <w:rFonts w:ascii="宋体" w:hAnsi="宋体"/>
                <w:szCs w:val="21"/>
              </w:rPr>
            </w:pPr>
            <w:r>
              <w:rPr>
                <w:rFonts w:hint="eastAsia" w:ascii="宋体" w:hAnsi="宋体"/>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851" w:type="dxa"/>
            <w:vAlign w:val="center"/>
          </w:tcPr>
          <w:p>
            <w:pPr>
              <w:pStyle w:val="34"/>
              <w:numPr>
                <w:ilvl w:val="0"/>
                <w:numId w:val="26"/>
              </w:numPr>
              <w:snapToGrid w:val="0"/>
              <w:ind w:firstLineChars="0"/>
              <w:jc w:val="center"/>
              <w:rPr>
                <w:rFonts w:ascii="宋体" w:hAnsi="宋体" w:eastAsia="宋体"/>
                <w:sz w:val="21"/>
                <w:szCs w:val="21"/>
              </w:rPr>
            </w:pPr>
          </w:p>
        </w:tc>
        <w:tc>
          <w:tcPr>
            <w:tcW w:w="1276" w:type="dxa"/>
            <w:vAlign w:val="center"/>
          </w:tcPr>
          <w:p>
            <w:pPr>
              <w:pStyle w:val="34"/>
              <w:snapToGrid w:val="0"/>
              <w:ind w:firstLine="0" w:firstLineChars="0"/>
              <w:jc w:val="center"/>
              <w:rPr>
                <w:rFonts w:ascii="宋体" w:hAnsi="宋体" w:eastAsia="宋体"/>
                <w:spacing w:val="-20"/>
                <w:sz w:val="21"/>
                <w:szCs w:val="21"/>
              </w:rPr>
            </w:pPr>
            <w:r>
              <w:rPr>
                <w:rFonts w:hint="eastAsia" w:ascii="宋体" w:hAnsi="宋体" w:eastAsia="宋体"/>
                <w:sz w:val="21"/>
                <w:szCs w:val="21"/>
              </w:rPr>
              <w:t>工作技术思路</w:t>
            </w:r>
          </w:p>
        </w:tc>
        <w:tc>
          <w:tcPr>
            <w:tcW w:w="4894" w:type="dxa"/>
            <w:vAlign w:val="center"/>
          </w:tcPr>
          <w:p>
            <w:pPr>
              <w:spacing w:line="360" w:lineRule="auto"/>
              <w:rPr>
                <w:rFonts w:ascii="宋体" w:hAnsi="宋体"/>
                <w:szCs w:val="21"/>
              </w:rPr>
            </w:pPr>
            <w:r>
              <w:rPr>
                <w:rFonts w:hint="eastAsia" w:ascii="宋体" w:hAnsi="宋体"/>
                <w:szCs w:val="21"/>
              </w:rPr>
              <w:t>根据</w:t>
            </w:r>
            <w:r>
              <w:rPr>
                <w:rFonts w:hint="eastAsia" w:ascii="宋体" w:hAnsi="宋体"/>
                <w:szCs w:val="21"/>
                <w:lang w:bidi="ar"/>
              </w:rPr>
              <w:t>响应供应商</w:t>
            </w:r>
            <w:r>
              <w:rPr>
                <w:rFonts w:hint="eastAsia" w:ascii="宋体" w:hAnsi="宋体"/>
                <w:szCs w:val="21"/>
              </w:rPr>
              <w:t>对本项目的工作技术思路进行评审：</w:t>
            </w:r>
          </w:p>
          <w:p>
            <w:pPr>
              <w:spacing w:line="360" w:lineRule="auto"/>
              <w:rPr>
                <w:rFonts w:ascii="宋体" w:hAnsi="宋体"/>
                <w:szCs w:val="21"/>
              </w:rPr>
            </w:pPr>
            <w:r>
              <w:rPr>
                <w:rFonts w:hint="eastAsia" w:ascii="宋体" w:hAnsi="宋体"/>
                <w:szCs w:val="21"/>
              </w:rPr>
              <w:t>1.</w:t>
            </w:r>
            <w:r>
              <w:rPr>
                <w:rFonts w:hint="eastAsia" w:ascii="宋体" w:hAnsi="宋体"/>
                <w:szCs w:val="21"/>
                <w:lang w:bidi="ar"/>
              </w:rPr>
              <w:t>响应供应商</w:t>
            </w:r>
            <w:r>
              <w:rPr>
                <w:rFonts w:hint="eastAsia" w:ascii="宋体" w:hAnsi="宋体"/>
                <w:szCs w:val="21"/>
              </w:rPr>
              <w:t>技术手段科学，技术措施合理，技术方法有很强的针对性，以上全部满足的，得10分。</w:t>
            </w:r>
          </w:p>
          <w:p>
            <w:pPr>
              <w:spacing w:line="360" w:lineRule="auto"/>
              <w:rPr>
                <w:rFonts w:ascii="宋体" w:hAnsi="宋体"/>
                <w:szCs w:val="21"/>
              </w:rPr>
            </w:pPr>
            <w:r>
              <w:rPr>
                <w:rFonts w:hint="eastAsia" w:ascii="宋体" w:hAnsi="宋体"/>
                <w:szCs w:val="21"/>
              </w:rPr>
              <w:t>2.</w:t>
            </w:r>
            <w:r>
              <w:rPr>
                <w:rFonts w:hint="eastAsia" w:ascii="宋体" w:hAnsi="宋体"/>
                <w:szCs w:val="21"/>
                <w:lang w:bidi="ar"/>
              </w:rPr>
              <w:t>响应供应商</w:t>
            </w:r>
            <w:r>
              <w:rPr>
                <w:rFonts w:hint="eastAsia" w:ascii="宋体" w:hAnsi="宋体"/>
                <w:szCs w:val="21"/>
              </w:rPr>
              <w:t>技术手段科学，技术措施合理，技术方法有很强的针对性，满足其中两项的，得7分。</w:t>
            </w:r>
          </w:p>
          <w:p>
            <w:pPr>
              <w:spacing w:line="360" w:lineRule="auto"/>
              <w:rPr>
                <w:rFonts w:ascii="宋体" w:hAnsi="宋体"/>
                <w:szCs w:val="21"/>
              </w:rPr>
            </w:pPr>
            <w:r>
              <w:rPr>
                <w:rFonts w:hint="eastAsia" w:ascii="宋体" w:hAnsi="宋体"/>
                <w:szCs w:val="21"/>
              </w:rPr>
              <w:t>3.</w:t>
            </w:r>
            <w:r>
              <w:rPr>
                <w:rFonts w:hint="eastAsia" w:ascii="宋体" w:hAnsi="宋体"/>
                <w:szCs w:val="21"/>
                <w:lang w:bidi="ar"/>
              </w:rPr>
              <w:t>响应供应商</w:t>
            </w:r>
            <w:r>
              <w:rPr>
                <w:rFonts w:hint="eastAsia" w:ascii="宋体" w:hAnsi="宋体"/>
                <w:szCs w:val="21"/>
              </w:rPr>
              <w:t>技术手段科学，技术措施合理，技术方法有很强的针对性，满足其中一项的，得4分。</w:t>
            </w:r>
          </w:p>
          <w:p>
            <w:pPr>
              <w:spacing w:line="360" w:lineRule="auto"/>
              <w:rPr>
                <w:rFonts w:ascii="宋体" w:hAnsi="宋体"/>
                <w:szCs w:val="21"/>
              </w:rPr>
            </w:pPr>
            <w:r>
              <w:rPr>
                <w:rFonts w:hint="eastAsia" w:ascii="宋体" w:hAnsi="宋体"/>
                <w:szCs w:val="21"/>
              </w:rPr>
              <w:t>4.均不满足或未提供工作技术思路的得0分。</w:t>
            </w:r>
          </w:p>
        </w:tc>
        <w:tc>
          <w:tcPr>
            <w:tcW w:w="766" w:type="dxa"/>
            <w:vAlign w:val="center"/>
          </w:tcPr>
          <w:p>
            <w:pPr>
              <w:jc w:val="center"/>
              <w:rPr>
                <w:rFonts w:ascii="宋体" w:hAnsi="宋体"/>
                <w:szCs w:val="21"/>
              </w:rPr>
            </w:pPr>
            <w:r>
              <w:rPr>
                <w:rFonts w:ascii="宋体" w:hAnsi="宋体"/>
                <w:szCs w:val="21"/>
              </w:rPr>
              <w:t>1</w:t>
            </w:r>
            <w:r>
              <w:rPr>
                <w:rFonts w:hint="eastAsia" w:ascii="宋体" w:hAnsi="宋体"/>
                <w:szCs w:val="21"/>
              </w:rPr>
              <w:t>0</w:t>
            </w:r>
          </w:p>
        </w:tc>
        <w:tc>
          <w:tcPr>
            <w:tcW w:w="875" w:type="dxa"/>
            <w:vAlign w:val="center"/>
          </w:tcPr>
          <w:p>
            <w:pPr>
              <w:jc w:val="center"/>
              <w:rPr>
                <w:rFonts w:ascii="宋体" w:hAnsi="宋体"/>
                <w:szCs w:val="21"/>
              </w:rPr>
            </w:pPr>
            <w:r>
              <w:rPr>
                <w:rFonts w:hint="eastAsia" w:ascii="宋体" w:hAnsi="宋体"/>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851" w:type="dxa"/>
            <w:vAlign w:val="center"/>
          </w:tcPr>
          <w:p>
            <w:pPr>
              <w:pStyle w:val="34"/>
              <w:numPr>
                <w:ilvl w:val="0"/>
                <w:numId w:val="26"/>
              </w:numPr>
              <w:snapToGrid w:val="0"/>
              <w:ind w:firstLineChars="0"/>
              <w:jc w:val="center"/>
              <w:rPr>
                <w:rFonts w:ascii="宋体" w:hAnsi="宋体" w:eastAsia="宋体"/>
                <w:sz w:val="21"/>
                <w:szCs w:val="21"/>
              </w:rPr>
            </w:pPr>
          </w:p>
        </w:tc>
        <w:tc>
          <w:tcPr>
            <w:tcW w:w="1276" w:type="dxa"/>
            <w:vAlign w:val="center"/>
          </w:tcPr>
          <w:p>
            <w:pPr>
              <w:ind w:left="-78" w:leftChars="-37" w:right="-73" w:rightChars="-35"/>
              <w:jc w:val="center"/>
              <w:rPr>
                <w:rFonts w:ascii="宋体" w:hAnsi="宋体"/>
                <w:spacing w:val="-20"/>
                <w:szCs w:val="21"/>
              </w:rPr>
            </w:pPr>
            <w:r>
              <w:rPr>
                <w:rFonts w:hint="eastAsia" w:ascii="宋体" w:hAnsi="宋体"/>
                <w:szCs w:val="21"/>
              </w:rPr>
              <w:t>服务便利性</w:t>
            </w:r>
          </w:p>
        </w:tc>
        <w:tc>
          <w:tcPr>
            <w:tcW w:w="4894" w:type="dxa"/>
            <w:vAlign w:val="center"/>
          </w:tcPr>
          <w:p>
            <w:pPr>
              <w:spacing w:line="360" w:lineRule="auto"/>
              <w:contextualSpacing/>
              <w:jc w:val="left"/>
              <w:rPr>
                <w:rFonts w:ascii="宋体" w:hAnsi="宋体"/>
                <w:szCs w:val="21"/>
              </w:rPr>
            </w:pPr>
            <w:r>
              <w:rPr>
                <w:rFonts w:hint="eastAsia" w:ascii="宋体" w:hAnsi="宋体"/>
                <w:szCs w:val="21"/>
              </w:rPr>
              <w:t>根据</w:t>
            </w:r>
            <w:r>
              <w:rPr>
                <w:rFonts w:hint="eastAsia" w:ascii="宋体" w:hAnsi="宋体"/>
                <w:szCs w:val="21"/>
                <w:lang w:bidi="ar"/>
              </w:rPr>
              <w:t>响应供应商</w:t>
            </w:r>
            <w:r>
              <w:rPr>
                <w:rFonts w:hint="eastAsia" w:ascii="宋体" w:hAnsi="宋体"/>
                <w:szCs w:val="21"/>
              </w:rPr>
              <w:t>对本项目的服务便利性进行评审（包括</w:t>
            </w:r>
            <w:r>
              <w:rPr>
                <w:rFonts w:hint="eastAsia" w:ascii="宋体" w:hAnsi="宋体"/>
                <w:szCs w:val="21"/>
                <w:lang w:bidi="ar"/>
              </w:rPr>
              <w:t>响应供应商</w:t>
            </w:r>
            <w:r>
              <w:rPr>
                <w:rFonts w:hint="eastAsia" w:ascii="宋体" w:hAnsi="宋体"/>
                <w:szCs w:val="21"/>
              </w:rPr>
              <w:t>对本项目服务承诺，是否及时有效服务、为本项目服务的保障、上述承诺与保障是否切实可行、与</w:t>
            </w:r>
            <w:r>
              <w:rPr>
                <w:rFonts w:hint="eastAsia" w:ascii="宋体" w:hAnsi="宋体"/>
                <w:szCs w:val="21"/>
                <w:lang w:bidi="ar"/>
              </w:rPr>
              <w:t>响应供应商</w:t>
            </w:r>
            <w:r>
              <w:rPr>
                <w:rFonts w:hint="eastAsia" w:ascii="宋体" w:hAnsi="宋体"/>
                <w:szCs w:val="21"/>
              </w:rPr>
              <w:t>实际情况是否匹配等）：</w:t>
            </w:r>
          </w:p>
          <w:p>
            <w:pPr>
              <w:spacing w:line="360" w:lineRule="auto"/>
              <w:contextualSpacing/>
              <w:jc w:val="left"/>
              <w:rPr>
                <w:rFonts w:ascii="宋体" w:hAnsi="宋体"/>
                <w:szCs w:val="21"/>
              </w:rPr>
            </w:pPr>
            <w:r>
              <w:rPr>
                <w:rFonts w:hint="eastAsia" w:ascii="宋体" w:hAnsi="宋体"/>
                <w:szCs w:val="21"/>
              </w:rPr>
              <w:t>1.服务响应速度快且客观可靠，服务保障措施到位，承诺与保障切实可行、与</w:t>
            </w:r>
            <w:r>
              <w:rPr>
                <w:rFonts w:hint="eastAsia" w:ascii="宋体" w:hAnsi="宋体"/>
                <w:szCs w:val="21"/>
                <w:lang w:bidi="ar"/>
              </w:rPr>
              <w:t>响应供应商</w:t>
            </w:r>
            <w:r>
              <w:rPr>
                <w:rFonts w:hint="eastAsia" w:ascii="宋体" w:hAnsi="宋体"/>
                <w:szCs w:val="21"/>
              </w:rPr>
              <w:t>实际情况匹配，得15分。</w:t>
            </w:r>
          </w:p>
          <w:p>
            <w:pPr>
              <w:spacing w:line="360" w:lineRule="auto"/>
              <w:contextualSpacing/>
              <w:jc w:val="left"/>
              <w:rPr>
                <w:rFonts w:ascii="宋体" w:hAnsi="宋体"/>
                <w:szCs w:val="21"/>
              </w:rPr>
            </w:pPr>
            <w:r>
              <w:rPr>
                <w:rFonts w:hint="eastAsia" w:ascii="宋体" w:hAnsi="宋体"/>
                <w:szCs w:val="21"/>
              </w:rPr>
              <w:t>2.服务响应速度快，基本满足服务保障措施，承诺与保障方案可行、与</w:t>
            </w:r>
            <w:r>
              <w:rPr>
                <w:rFonts w:hint="eastAsia" w:ascii="宋体" w:hAnsi="宋体"/>
                <w:szCs w:val="21"/>
                <w:lang w:bidi="ar"/>
              </w:rPr>
              <w:t>响应供应商</w:t>
            </w:r>
            <w:r>
              <w:rPr>
                <w:rFonts w:hint="eastAsia" w:ascii="宋体" w:hAnsi="宋体"/>
                <w:szCs w:val="21"/>
              </w:rPr>
              <w:t>实际情况基本匹配，得10分。</w:t>
            </w:r>
          </w:p>
          <w:p>
            <w:pPr>
              <w:spacing w:line="360" w:lineRule="auto"/>
              <w:contextualSpacing/>
              <w:jc w:val="left"/>
              <w:rPr>
                <w:rFonts w:ascii="宋体" w:hAnsi="宋体"/>
                <w:szCs w:val="21"/>
              </w:rPr>
            </w:pPr>
            <w:r>
              <w:rPr>
                <w:rFonts w:hint="eastAsia" w:ascii="宋体" w:hAnsi="宋体"/>
                <w:szCs w:val="21"/>
              </w:rPr>
              <w:t>3.服务响应时间长，服务保障措施情况模糊、难以判断，或难以确定能满足服务需求，得5分。</w:t>
            </w:r>
          </w:p>
          <w:p>
            <w:pPr>
              <w:spacing w:line="360" w:lineRule="auto"/>
              <w:contextualSpacing/>
              <w:jc w:val="left"/>
              <w:rPr>
                <w:rFonts w:ascii="宋体" w:hAnsi="宋体"/>
                <w:szCs w:val="21"/>
              </w:rPr>
            </w:pPr>
            <w:r>
              <w:rPr>
                <w:rFonts w:hint="eastAsia" w:ascii="宋体" w:hAnsi="宋体"/>
                <w:szCs w:val="21"/>
              </w:rPr>
              <w:t>4.未提供服务便利性的得0分。</w:t>
            </w:r>
          </w:p>
        </w:tc>
        <w:tc>
          <w:tcPr>
            <w:tcW w:w="766" w:type="dxa"/>
            <w:vAlign w:val="center"/>
          </w:tcPr>
          <w:p>
            <w:pPr>
              <w:jc w:val="center"/>
              <w:rPr>
                <w:rFonts w:ascii="宋体" w:hAnsi="宋体"/>
                <w:szCs w:val="21"/>
              </w:rPr>
            </w:pPr>
            <w:r>
              <w:rPr>
                <w:rFonts w:hint="eastAsia" w:ascii="宋体" w:hAnsi="宋体"/>
                <w:szCs w:val="21"/>
              </w:rPr>
              <w:t>15</w:t>
            </w:r>
          </w:p>
        </w:tc>
        <w:tc>
          <w:tcPr>
            <w:tcW w:w="875" w:type="dxa"/>
            <w:vAlign w:val="center"/>
          </w:tcPr>
          <w:p>
            <w:pPr>
              <w:jc w:val="center"/>
              <w:rPr>
                <w:rFonts w:ascii="宋体" w:hAnsi="宋体"/>
                <w:szCs w:val="21"/>
              </w:rPr>
            </w:pPr>
            <w:r>
              <w:rPr>
                <w:rFonts w:hint="eastAsia" w:ascii="宋体" w:hAnsi="宋体"/>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851" w:type="dxa"/>
            <w:vAlign w:val="center"/>
          </w:tcPr>
          <w:p>
            <w:pPr>
              <w:snapToGrid w:val="0"/>
              <w:jc w:val="center"/>
              <w:rPr>
                <w:rFonts w:ascii="宋体" w:hAnsi="宋体"/>
                <w:b/>
                <w:szCs w:val="21"/>
              </w:rPr>
            </w:pPr>
            <w:r>
              <w:rPr>
                <w:rFonts w:hint="eastAsia" w:ascii="宋体" w:hAnsi="宋体"/>
                <w:b/>
                <w:szCs w:val="21"/>
              </w:rPr>
              <w:t>二</w:t>
            </w:r>
          </w:p>
        </w:tc>
        <w:tc>
          <w:tcPr>
            <w:tcW w:w="7811" w:type="dxa"/>
            <w:gridSpan w:val="4"/>
            <w:vAlign w:val="center"/>
          </w:tcPr>
          <w:p>
            <w:pPr>
              <w:snapToGrid w:val="0"/>
              <w:spacing w:line="360" w:lineRule="auto"/>
              <w:ind w:left="-78" w:leftChars="-37" w:right="-73" w:rightChars="-35"/>
              <w:jc w:val="center"/>
              <w:rPr>
                <w:rFonts w:ascii="宋体" w:hAnsi="宋体"/>
                <w:b/>
                <w:szCs w:val="21"/>
              </w:rPr>
            </w:pPr>
            <w:r>
              <w:rPr>
                <w:rFonts w:hint="eastAsia" w:ascii="宋体" w:hAnsi="宋体"/>
                <w:b/>
                <w:szCs w:val="21"/>
              </w:rPr>
              <w:t>商务部分（合计40分）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51" w:type="dxa"/>
            <w:vAlign w:val="center"/>
          </w:tcPr>
          <w:p>
            <w:pPr>
              <w:pStyle w:val="34"/>
              <w:numPr>
                <w:ilvl w:val="0"/>
                <w:numId w:val="27"/>
              </w:numPr>
              <w:snapToGrid w:val="0"/>
              <w:ind w:firstLineChars="0"/>
              <w:jc w:val="center"/>
              <w:rPr>
                <w:rFonts w:ascii="宋体" w:hAnsi="宋体" w:eastAsia="宋体"/>
                <w:sz w:val="21"/>
                <w:szCs w:val="21"/>
              </w:rPr>
            </w:pPr>
          </w:p>
        </w:tc>
        <w:tc>
          <w:tcPr>
            <w:tcW w:w="1276" w:type="dxa"/>
            <w:vAlign w:val="center"/>
          </w:tcPr>
          <w:p>
            <w:pPr>
              <w:jc w:val="center"/>
              <w:rPr>
                <w:rFonts w:ascii="宋体" w:hAnsi="宋体"/>
                <w:color w:val="000000"/>
                <w:szCs w:val="21"/>
              </w:rPr>
            </w:pPr>
            <w:r>
              <w:rPr>
                <w:rFonts w:hint="eastAsia" w:ascii="宋体" w:hAnsi="宋体" w:cs="仿宋_GB2312"/>
                <w:szCs w:val="21"/>
              </w:rPr>
              <w:t>同类业绩</w:t>
            </w:r>
          </w:p>
        </w:tc>
        <w:tc>
          <w:tcPr>
            <w:tcW w:w="4894" w:type="dxa"/>
            <w:vAlign w:val="center"/>
          </w:tcPr>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2021年1月1日以来（以证明文件落款时间为准）同类项目经验（指MSM人群艾滋病防治相关业绩） ：每项业绩得4分，最高得20分。</w:t>
            </w:r>
          </w:p>
          <w:p>
            <w:pPr>
              <w:snapToGrid w:val="0"/>
              <w:spacing w:line="360" w:lineRule="auto"/>
              <w:rPr>
                <w:rFonts w:ascii="宋体" w:hAnsi="宋体"/>
                <w:color w:val="000000"/>
                <w:szCs w:val="21"/>
              </w:rPr>
            </w:pPr>
            <w:r>
              <w:rPr>
                <w:rFonts w:hint="eastAsia" w:ascii="宋体" w:hAnsi="宋体"/>
                <w:color w:val="000000" w:themeColor="text1"/>
                <w:szCs w:val="21"/>
                <w14:textFill>
                  <w14:solidFill>
                    <w14:schemeClr w14:val="tx1"/>
                  </w14:solidFill>
                </w14:textFill>
              </w:rPr>
              <w:t>注：响应文件中须同时提供合同（或者合同关键页） ，上述资料提供复印件加盖</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公章，未提供或提供的资料不符合要求的则不得分。</w:t>
            </w:r>
          </w:p>
        </w:tc>
        <w:tc>
          <w:tcPr>
            <w:tcW w:w="766" w:type="dxa"/>
            <w:vAlign w:val="center"/>
          </w:tcPr>
          <w:p>
            <w:pPr>
              <w:jc w:val="center"/>
              <w:rPr>
                <w:rFonts w:ascii="宋体" w:hAnsi="宋体"/>
                <w:szCs w:val="21"/>
              </w:rPr>
            </w:pPr>
            <w:r>
              <w:rPr>
                <w:rFonts w:hint="eastAsia" w:ascii="宋体" w:hAnsi="宋体"/>
                <w:szCs w:val="21"/>
              </w:rPr>
              <w:t>20</w:t>
            </w:r>
          </w:p>
        </w:tc>
        <w:tc>
          <w:tcPr>
            <w:tcW w:w="875" w:type="dxa"/>
            <w:vAlign w:val="center"/>
          </w:tcPr>
          <w:p>
            <w:pPr>
              <w:jc w:val="center"/>
              <w:rPr>
                <w:rFonts w:ascii="宋体" w:hAnsi="宋体"/>
                <w:szCs w:val="21"/>
              </w:rPr>
            </w:pPr>
            <w:r>
              <w:rPr>
                <w:rFonts w:hint="eastAsia" w:ascii="宋体" w:hAnsi="宋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3" w:hRule="atLeast"/>
        </w:trPr>
        <w:tc>
          <w:tcPr>
            <w:tcW w:w="851" w:type="dxa"/>
            <w:vAlign w:val="center"/>
          </w:tcPr>
          <w:p>
            <w:pPr>
              <w:pStyle w:val="34"/>
              <w:numPr>
                <w:ilvl w:val="0"/>
                <w:numId w:val="27"/>
              </w:numPr>
              <w:snapToGrid w:val="0"/>
              <w:ind w:firstLineChars="0"/>
              <w:jc w:val="center"/>
              <w:rPr>
                <w:rFonts w:ascii="宋体" w:hAnsi="宋体" w:eastAsia="宋体"/>
                <w:sz w:val="21"/>
                <w:szCs w:val="21"/>
              </w:rPr>
            </w:pPr>
          </w:p>
        </w:tc>
        <w:tc>
          <w:tcPr>
            <w:tcW w:w="1276" w:type="dxa"/>
            <w:vAlign w:val="center"/>
          </w:tcPr>
          <w:p>
            <w:pPr>
              <w:jc w:val="center"/>
              <w:rPr>
                <w:rFonts w:ascii="宋体" w:hAnsi="宋体"/>
                <w:szCs w:val="21"/>
              </w:rPr>
            </w:pPr>
            <w:r>
              <w:rPr>
                <w:rFonts w:hint="eastAsia" w:ascii="宋体" w:hAnsi="宋体"/>
                <w:szCs w:val="21"/>
              </w:rPr>
              <w:t>项目服务的专业技术人员配置</w:t>
            </w:r>
          </w:p>
        </w:tc>
        <w:tc>
          <w:tcPr>
            <w:tcW w:w="4894" w:type="dxa"/>
            <w:vAlign w:val="center"/>
          </w:tcPr>
          <w:p>
            <w:pPr>
              <w:widowControl/>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1.根据</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针对本项目拟投入的项目负责人进行评审：</w:t>
            </w:r>
          </w:p>
          <w:p>
            <w:pPr>
              <w:widowControl/>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项目负责人负责过MSM人群艾滋病防治相关服务项目的，每个项目得2分，本项最高10分。</w:t>
            </w: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响应文件中须提供拟投入本项目的项目负责人相关服务经验的证明材料复印件（项目合同等能体现拟投入项目负责人作为项目负责人的材料，如合同无体现人员信息可提供甲方出具的证明材料）和社保机构或税务部门出具的在报名截止日期前连续六个月（本月和上月可不计）在</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名下缴纳社保证明复印件加盖</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公章。不满足不得分。</w:t>
            </w: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针对本项目拟投入的团队成员（项目负责人除外）进行评审：</w:t>
            </w: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团队成员参与过艾滋病防治相关服务项目的，每提供一人，得2分，本项最高得10分。</w:t>
            </w: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响应文件中须提供拟投入本项目的团队成员参与艾滋病防治相关服务的证明材料复印件（项目合同等能体现团队成员参与过相关服务的材料，如合同无体现人员信息可提供甲方出具的证明材料）和社保机构或税务部门出具的在报名截止日期前连续六个月（本月和上月可不计）在</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名下缴纳社保证明复印件加盖</w:t>
            </w:r>
            <w:r>
              <w:rPr>
                <w:rFonts w:hint="eastAsia" w:ascii="宋体" w:hAnsi="宋体"/>
                <w:szCs w:val="21"/>
                <w:lang w:bidi="ar"/>
              </w:rPr>
              <w:t>响应供应商</w:t>
            </w:r>
            <w:r>
              <w:rPr>
                <w:rFonts w:hint="eastAsia" w:ascii="宋体" w:hAnsi="宋体"/>
                <w:color w:val="000000" w:themeColor="text1"/>
                <w:szCs w:val="21"/>
                <w14:textFill>
                  <w14:solidFill>
                    <w14:schemeClr w14:val="tx1"/>
                  </w14:solidFill>
                </w14:textFill>
              </w:rPr>
              <w:t>公章。不满足不得分。</w:t>
            </w:r>
          </w:p>
        </w:tc>
        <w:tc>
          <w:tcPr>
            <w:tcW w:w="766" w:type="dxa"/>
            <w:vAlign w:val="center"/>
          </w:tcPr>
          <w:p>
            <w:pPr>
              <w:jc w:val="center"/>
              <w:rPr>
                <w:rFonts w:ascii="宋体" w:hAnsi="宋体"/>
                <w:szCs w:val="21"/>
              </w:rPr>
            </w:pPr>
            <w:r>
              <w:rPr>
                <w:rFonts w:hint="eastAsia" w:ascii="宋体" w:hAnsi="宋体"/>
                <w:szCs w:val="21"/>
              </w:rPr>
              <w:t>20</w:t>
            </w:r>
          </w:p>
        </w:tc>
        <w:tc>
          <w:tcPr>
            <w:tcW w:w="875" w:type="dxa"/>
            <w:vAlign w:val="center"/>
          </w:tcPr>
          <w:p>
            <w:pPr>
              <w:jc w:val="center"/>
              <w:rPr>
                <w:rFonts w:ascii="宋体" w:hAnsi="宋体"/>
                <w:szCs w:val="21"/>
              </w:rPr>
            </w:pPr>
            <w:r>
              <w:rPr>
                <w:rFonts w:hint="eastAsia" w:ascii="宋体" w:hAnsi="宋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851" w:type="dxa"/>
            <w:vAlign w:val="center"/>
          </w:tcPr>
          <w:p>
            <w:pPr>
              <w:snapToGrid w:val="0"/>
              <w:jc w:val="center"/>
              <w:rPr>
                <w:rFonts w:ascii="宋体" w:hAnsi="宋体"/>
                <w:b/>
                <w:szCs w:val="21"/>
              </w:rPr>
            </w:pPr>
            <w:r>
              <w:rPr>
                <w:rFonts w:hint="eastAsia" w:ascii="宋体" w:hAnsi="宋体"/>
                <w:b/>
                <w:szCs w:val="21"/>
              </w:rPr>
              <w:t>三</w:t>
            </w:r>
          </w:p>
        </w:tc>
        <w:tc>
          <w:tcPr>
            <w:tcW w:w="7811" w:type="dxa"/>
            <w:gridSpan w:val="4"/>
            <w:vAlign w:val="center"/>
          </w:tcPr>
          <w:p>
            <w:pPr>
              <w:snapToGrid w:val="0"/>
              <w:spacing w:line="360" w:lineRule="auto"/>
              <w:ind w:left="-78" w:leftChars="-37" w:right="-73" w:rightChars="-35"/>
              <w:jc w:val="center"/>
              <w:rPr>
                <w:rFonts w:ascii="宋体" w:hAnsi="宋体"/>
                <w:b/>
                <w:szCs w:val="21"/>
              </w:rPr>
            </w:pPr>
            <w:r>
              <w:rPr>
                <w:rFonts w:hint="eastAsia" w:ascii="宋体" w:hAnsi="宋体"/>
                <w:b/>
                <w:szCs w:val="21"/>
              </w:rPr>
              <w:t>价格部分（合计</w:t>
            </w:r>
            <w:r>
              <w:rPr>
                <w:rFonts w:ascii="宋体" w:hAnsi="宋体"/>
                <w:b/>
                <w:szCs w:val="21"/>
              </w:rPr>
              <w:t>10</w:t>
            </w:r>
            <w:r>
              <w:rPr>
                <w:rFonts w:hint="eastAsia" w:ascii="宋体" w:hAnsi="宋体"/>
                <w:b/>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851" w:type="dxa"/>
            <w:vAlign w:val="center"/>
          </w:tcPr>
          <w:p>
            <w:pPr>
              <w:pStyle w:val="20"/>
              <w:numPr>
                <w:ilvl w:val="0"/>
                <w:numId w:val="28"/>
              </w:numPr>
              <w:autoSpaceDE w:val="0"/>
              <w:autoSpaceDN w:val="0"/>
              <w:adjustRightInd w:val="0"/>
              <w:snapToGrid w:val="0"/>
              <w:ind w:firstLineChars="0"/>
              <w:jc w:val="center"/>
              <w:rPr>
                <w:rFonts w:ascii="宋体" w:hAnsi="宋体"/>
                <w:szCs w:val="21"/>
              </w:rPr>
            </w:pPr>
          </w:p>
        </w:tc>
        <w:tc>
          <w:tcPr>
            <w:tcW w:w="1276" w:type="dxa"/>
            <w:vAlign w:val="center"/>
          </w:tcPr>
          <w:p>
            <w:pPr>
              <w:snapToGrid w:val="0"/>
              <w:jc w:val="center"/>
              <w:rPr>
                <w:rFonts w:ascii="宋体" w:hAnsi="宋体"/>
                <w:szCs w:val="21"/>
              </w:rPr>
            </w:pPr>
            <w:r>
              <w:rPr>
                <w:rFonts w:hint="eastAsia" w:ascii="宋体" w:hAnsi="宋体"/>
                <w:szCs w:val="21"/>
              </w:rPr>
              <w:t>报价得分</w:t>
            </w:r>
          </w:p>
        </w:tc>
        <w:tc>
          <w:tcPr>
            <w:tcW w:w="4894" w:type="dxa"/>
            <w:vAlign w:val="center"/>
          </w:tcPr>
          <w:p>
            <w:pPr>
              <w:snapToGrid w:val="0"/>
              <w:spacing w:line="360" w:lineRule="auto"/>
              <w:rPr>
                <w:rFonts w:ascii="宋体" w:hAnsi="宋体"/>
                <w:szCs w:val="21"/>
              </w:rPr>
            </w:pPr>
            <w:r>
              <w:rPr>
                <w:rFonts w:ascii="宋体" w:hAnsi="宋体"/>
                <w:szCs w:val="21"/>
              </w:rPr>
              <w:t>价格分</w:t>
            </w:r>
            <w:r>
              <w:rPr>
                <w:rFonts w:hint="eastAsia" w:ascii="宋体" w:hAnsi="宋体"/>
                <w:szCs w:val="21"/>
              </w:rPr>
              <w:t>统一采用低价优先法计算，即满足评审文件要求且报价最低的报价为基准价，其价格分为满分。其他响应供应商的价格分统一按照下列公式计算：</w:t>
            </w:r>
          </w:p>
          <w:p>
            <w:pPr>
              <w:widowControl/>
              <w:snapToGrid w:val="0"/>
              <w:spacing w:line="360" w:lineRule="auto"/>
              <w:rPr>
                <w:rFonts w:ascii="宋体" w:hAnsi="宋体"/>
                <w:szCs w:val="21"/>
              </w:rPr>
            </w:pPr>
            <w:r>
              <w:rPr>
                <w:rFonts w:hint="eastAsia" w:ascii="宋体" w:hAnsi="宋体"/>
                <w:szCs w:val="21"/>
              </w:rPr>
              <w:t>报价得分=(基准价／最后报价)×100×</w:t>
            </w:r>
            <w:r>
              <w:rPr>
                <w:rFonts w:ascii="宋体" w:hAnsi="宋体"/>
                <w:szCs w:val="21"/>
              </w:rPr>
              <w:t>价格权重</w:t>
            </w:r>
          </w:p>
          <w:p>
            <w:pPr>
              <w:widowControl/>
              <w:snapToGrid w:val="0"/>
              <w:spacing w:line="360" w:lineRule="auto"/>
              <w:rPr>
                <w:rFonts w:ascii="宋体" w:hAnsi="宋体"/>
                <w:bCs/>
                <w:szCs w:val="21"/>
              </w:rPr>
            </w:pPr>
            <w:r>
              <w:rPr>
                <w:rFonts w:hint="eastAsia" w:ascii="宋体" w:hAnsi="宋体"/>
                <w:bCs/>
                <w:szCs w:val="21"/>
              </w:rPr>
              <w:t>备注：</w:t>
            </w:r>
          </w:p>
          <w:p>
            <w:pPr>
              <w:numPr>
                <w:ilvl w:val="0"/>
                <w:numId w:val="29"/>
              </w:numPr>
              <w:autoSpaceDE w:val="0"/>
              <w:autoSpaceDN w:val="0"/>
              <w:adjustRightInd w:val="0"/>
              <w:snapToGrid w:val="0"/>
              <w:spacing w:line="360" w:lineRule="auto"/>
              <w:ind w:left="253" w:hanging="253"/>
              <w:jc w:val="left"/>
              <w:rPr>
                <w:rFonts w:ascii="宋体" w:hAnsi="宋体"/>
                <w:bCs/>
                <w:szCs w:val="21"/>
              </w:rPr>
            </w:pPr>
            <w:r>
              <w:rPr>
                <w:rFonts w:hint="eastAsia" w:ascii="宋体" w:hAnsi="宋体"/>
                <w:bCs/>
                <w:szCs w:val="21"/>
              </w:rPr>
              <w:t>报价得分四舍五入后，</w:t>
            </w:r>
            <w:r>
              <w:rPr>
                <w:rFonts w:hint="eastAsia" w:ascii="宋体" w:hAnsi="宋体" w:cs="Arial"/>
                <w:szCs w:val="21"/>
              </w:rPr>
              <w:t>小数点后保留两位有效数</w:t>
            </w:r>
            <w:r>
              <w:rPr>
                <w:rFonts w:hint="eastAsia" w:ascii="宋体" w:hAnsi="宋体"/>
                <w:bCs/>
                <w:szCs w:val="21"/>
              </w:rPr>
              <w:t>；</w:t>
            </w:r>
          </w:p>
          <w:p>
            <w:pPr>
              <w:numPr>
                <w:ilvl w:val="0"/>
                <w:numId w:val="29"/>
              </w:numPr>
              <w:autoSpaceDE w:val="0"/>
              <w:autoSpaceDN w:val="0"/>
              <w:adjustRightInd w:val="0"/>
              <w:snapToGrid w:val="0"/>
              <w:spacing w:line="360" w:lineRule="auto"/>
              <w:ind w:left="253" w:hanging="253"/>
              <w:jc w:val="left"/>
              <w:rPr>
                <w:rFonts w:ascii="宋体" w:hAnsi="宋体"/>
                <w:szCs w:val="21"/>
              </w:rPr>
            </w:pPr>
            <w:r>
              <w:rPr>
                <w:rFonts w:hint="eastAsia" w:ascii="宋体" w:hAnsi="宋体"/>
                <w:bCs/>
                <w:szCs w:val="21"/>
              </w:rPr>
              <w:t>供应</w:t>
            </w:r>
            <w:r>
              <w:rPr>
                <w:rFonts w:hint="eastAsia" w:ascii="宋体" w:hAnsi="宋体"/>
                <w:szCs w:val="21"/>
              </w:rPr>
              <w:t>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c>
          <w:tcPr>
            <w:tcW w:w="766"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875"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r>
    </w:tbl>
    <w:p>
      <w:pPr>
        <w:pStyle w:val="11"/>
        <w:spacing w:before="0" w:after="0"/>
        <w:rPr>
          <w:lang w:val="zh-CN"/>
        </w:rPr>
      </w:pPr>
      <w:r>
        <w:rPr>
          <w:lang w:val="zh-CN"/>
        </w:rPr>
        <w:br w:type="page"/>
      </w:r>
    </w:p>
    <w:p>
      <w:pPr>
        <w:pStyle w:val="11"/>
        <w:spacing w:before="0" w:after="0"/>
        <w:rPr>
          <w:lang w:val="zh-CN"/>
        </w:rPr>
      </w:pPr>
      <w:r>
        <w:rPr>
          <w:rFonts w:hint="eastAsia"/>
          <w:lang w:val="zh-CN"/>
        </w:rPr>
        <w:t>第三章 响应文件附件</w:t>
      </w:r>
    </w:p>
    <w:p>
      <w:pPr>
        <w:pStyle w:val="2"/>
        <w:spacing w:line="360" w:lineRule="auto"/>
        <w:jc w:val="center"/>
        <w:rPr>
          <w:rFonts w:ascii="宋体" w:hAnsi="宋体" w:eastAsia="宋体"/>
        </w:rPr>
      </w:pPr>
      <w:bookmarkStart w:id="2" w:name="_Toc435514852"/>
      <w:bookmarkStart w:id="3" w:name="_Toc435515292"/>
      <w:r>
        <w:rPr>
          <w:rFonts w:hint="eastAsia" w:ascii="宋体" w:hAnsi="宋体" w:eastAsia="宋体"/>
        </w:rPr>
        <w:t>响应文件封面参考</w:t>
      </w:r>
      <w:bookmarkEnd w:id="2"/>
      <w:bookmarkEnd w:id="3"/>
    </w:p>
    <w:tbl>
      <w:tblPr>
        <w:tblStyle w:val="1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5"/>
              <w:spacing w:line="360" w:lineRule="auto"/>
              <w:ind w:firstLine="481" w:firstLineChars="150"/>
              <w:rPr>
                <w:rFonts w:ascii="仿宋_GB2312" w:eastAsia="仿宋_GB2312"/>
                <w:b/>
                <w:sz w:val="32"/>
              </w:rPr>
            </w:pPr>
          </w:p>
          <w:p>
            <w:pPr>
              <w:pStyle w:val="5"/>
              <w:spacing w:line="360" w:lineRule="auto"/>
              <w:ind w:firstLine="481" w:firstLineChars="150"/>
              <w:rPr>
                <w:rFonts w:ascii="仿宋_GB2312" w:eastAsia="仿宋_GB2312"/>
                <w:b/>
                <w:sz w:val="32"/>
              </w:rPr>
            </w:pPr>
          </w:p>
          <w:p>
            <w:pPr>
              <w:pStyle w:val="5"/>
              <w:spacing w:line="360" w:lineRule="auto"/>
              <w:ind w:firstLine="481" w:firstLineChars="150"/>
              <w:rPr>
                <w:rFonts w:ascii="仿宋_GB2312" w:eastAsia="仿宋_GB2312"/>
                <w:b/>
                <w:sz w:val="32"/>
              </w:rPr>
            </w:pPr>
          </w:p>
          <w:p>
            <w:pPr>
              <w:pStyle w:val="5"/>
              <w:spacing w:line="360" w:lineRule="auto"/>
              <w:ind w:firstLine="31"/>
              <w:jc w:val="center"/>
              <w:rPr>
                <w:rFonts w:ascii="黑体" w:eastAsia="黑体"/>
                <w:b/>
                <w:sz w:val="72"/>
                <w:szCs w:val="72"/>
              </w:rPr>
            </w:pPr>
          </w:p>
          <w:p>
            <w:pPr>
              <w:pStyle w:val="5"/>
              <w:spacing w:line="360" w:lineRule="auto"/>
              <w:ind w:firstLine="31"/>
              <w:jc w:val="center"/>
              <w:rPr>
                <w:rFonts w:ascii="宋体" w:hAnsi="宋体"/>
                <w:b/>
                <w:sz w:val="72"/>
                <w:szCs w:val="72"/>
              </w:rPr>
            </w:pPr>
          </w:p>
          <w:p>
            <w:pPr>
              <w:pStyle w:val="5"/>
              <w:spacing w:line="360" w:lineRule="auto"/>
              <w:ind w:firstLine="31"/>
              <w:jc w:val="center"/>
              <w:rPr>
                <w:rFonts w:ascii="宋体" w:hAnsi="宋体"/>
                <w:b/>
                <w:sz w:val="72"/>
                <w:szCs w:val="72"/>
              </w:rPr>
            </w:pPr>
            <w:r>
              <w:rPr>
                <w:rFonts w:hint="eastAsia" w:ascii="宋体" w:hAnsi="宋体"/>
                <w:b/>
                <w:sz w:val="72"/>
                <w:szCs w:val="72"/>
              </w:rPr>
              <w:t>响 应 文 件</w:t>
            </w:r>
          </w:p>
          <w:p>
            <w:pPr>
              <w:pStyle w:val="5"/>
              <w:spacing w:line="360" w:lineRule="auto"/>
              <w:ind w:firstLine="2091" w:firstLineChars="651"/>
              <w:rPr>
                <w:rFonts w:ascii="宋体" w:hAnsi="宋体"/>
                <w:b/>
                <w:sz w:val="32"/>
              </w:rPr>
            </w:pPr>
          </w:p>
          <w:p>
            <w:pPr>
              <w:pStyle w:val="5"/>
              <w:spacing w:line="360" w:lineRule="auto"/>
              <w:ind w:firstLine="643"/>
              <w:rPr>
                <w:rFonts w:ascii="宋体" w:hAnsi="宋体"/>
                <w:b/>
                <w:sz w:val="32"/>
              </w:rPr>
            </w:pPr>
          </w:p>
          <w:p>
            <w:pPr>
              <w:pStyle w:val="5"/>
              <w:spacing w:line="400" w:lineRule="exact"/>
              <w:ind w:firstLine="899" w:firstLineChars="320"/>
              <w:rPr>
                <w:rFonts w:ascii="宋体" w:hAnsi="宋体"/>
                <w:b/>
                <w:sz w:val="28"/>
                <w:szCs w:val="28"/>
              </w:rPr>
            </w:pPr>
            <w:r>
              <w:rPr>
                <w:rFonts w:hint="eastAsia" w:ascii="宋体" w:hAnsi="宋体"/>
                <w:b/>
                <w:sz w:val="28"/>
                <w:szCs w:val="28"/>
              </w:rPr>
              <w:t>项目编号：</w:t>
            </w:r>
          </w:p>
          <w:p>
            <w:pPr>
              <w:pStyle w:val="5"/>
              <w:spacing w:line="400" w:lineRule="exact"/>
              <w:ind w:left="2243" w:leftChars="399" w:hanging="1405" w:hangingChars="500"/>
              <w:rPr>
                <w:rFonts w:ascii="宋体" w:hAnsi="宋体"/>
                <w:b/>
                <w:sz w:val="28"/>
                <w:szCs w:val="28"/>
              </w:rPr>
            </w:pPr>
            <w:r>
              <w:rPr>
                <w:rFonts w:hint="eastAsia" w:ascii="宋体" w:hAnsi="宋体"/>
                <w:b/>
                <w:sz w:val="28"/>
                <w:szCs w:val="28"/>
              </w:rPr>
              <w:t>项目名称：珠海高新技术产业开发区公共卫生指导服务中心艾滋病防治服务（2024年男男性行为人群（MSM）干预检测）采购项目</w:t>
            </w:r>
          </w:p>
          <w:p>
            <w:pPr>
              <w:pStyle w:val="5"/>
              <w:spacing w:line="400" w:lineRule="exact"/>
              <w:ind w:left="2243" w:leftChars="399" w:hanging="1405" w:hangingChars="500"/>
              <w:rPr>
                <w:rFonts w:ascii="宋体" w:hAnsi="宋体"/>
                <w:b/>
                <w:sz w:val="28"/>
                <w:szCs w:val="28"/>
              </w:rPr>
            </w:pPr>
            <w:r>
              <w:rPr>
                <w:rFonts w:hint="eastAsia" w:ascii="宋体" w:hAnsi="宋体"/>
                <w:b/>
                <w:sz w:val="28"/>
                <w:szCs w:val="28"/>
              </w:rPr>
              <w:t>供应商名称：</w:t>
            </w:r>
          </w:p>
          <w:p>
            <w:pPr>
              <w:pStyle w:val="5"/>
              <w:spacing w:line="400" w:lineRule="exact"/>
              <w:ind w:firstLine="843" w:firstLineChars="300"/>
              <w:rPr>
                <w:rFonts w:ascii="宋体" w:hAnsi="宋体"/>
                <w:b/>
                <w:sz w:val="28"/>
                <w:szCs w:val="28"/>
              </w:rPr>
            </w:pPr>
            <w:r>
              <w:rPr>
                <w:rFonts w:hint="eastAsia" w:ascii="宋体" w:hAnsi="宋体"/>
                <w:b/>
                <w:sz w:val="28"/>
                <w:szCs w:val="28"/>
              </w:rPr>
              <w:t>供应商地址：</w:t>
            </w:r>
          </w:p>
          <w:p>
            <w:pPr>
              <w:pStyle w:val="5"/>
              <w:spacing w:line="400" w:lineRule="exact"/>
              <w:ind w:firstLine="1028" w:firstLineChars="320"/>
              <w:rPr>
                <w:rFonts w:ascii="仿宋_GB2312" w:eastAsia="仿宋_GB2312"/>
                <w:b/>
                <w:sz w:val="32"/>
              </w:rPr>
            </w:pPr>
          </w:p>
        </w:tc>
      </w:tr>
    </w:tbl>
    <w:p>
      <w:pPr>
        <w:pStyle w:val="2"/>
        <w:spacing w:line="360" w:lineRule="auto"/>
        <w:jc w:val="center"/>
        <w:rPr>
          <w:rFonts w:ascii="宋体" w:hAnsi="宋体" w:eastAsia="宋体"/>
        </w:rPr>
      </w:pPr>
      <w:r>
        <w:rPr>
          <w:rFonts w:hint="eastAsia" w:ascii="宋体" w:hAnsi="宋体" w:eastAsia="宋体"/>
        </w:rPr>
        <w:t>报名报价响应文件目录</w:t>
      </w:r>
    </w:p>
    <w:tbl>
      <w:tblPr>
        <w:tblStyle w:val="13"/>
        <w:tblW w:w="85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1"/>
        <w:gridCol w:w="164"/>
        <w:gridCol w:w="3844"/>
        <w:gridCol w:w="1360"/>
        <w:gridCol w:w="426"/>
        <w:gridCol w:w="2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71" w:type="dxa"/>
            <w:vAlign w:val="center"/>
          </w:tcPr>
          <w:p>
            <w:pPr>
              <w:snapToGrid w:val="0"/>
              <w:spacing w:line="264" w:lineRule="auto"/>
              <w:jc w:val="center"/>
              <w:rPr>
                <w:rFonts w:ascii="宋体" w:hAnsi="宋体"/>
                <w:b/>
                <w:szCs w:val="20"/>
              </w:rPr>
            </w:pPr>
            <w:r>
              <w:rPr>
                <w:rFonts w:hint="eastAsia" w:ascii="宋体" w:hAnsi="宋体"/>
                <w:b/>
                <w:szCs w:val="20"/>
              </w:rPr>
              <w:t>序号</w:t>
            </w:r>
          </w:p>
        </w:tc>
        <w:tc>
          <w:tcPr>
            <w:tcW w:w="4008" w:type="dxa"/>
            <w:gridSpan w:val="2"/>
            <w:vAlign w:val="center"/>
          </w:tcPr>
          <w:p>
            <w:pPr>
              <w:snapToGrid w:val="0"/>
              <w:spacing w:line="264" w:lineRule="auto"/>
              <w:jc w:val="center"/>
              <w:rPr>
                <w:rFonts w:ascii="宋体" w:hAnsi="宋体"/>
                <w:b/>
                <w:szCs w:val="20"/>
              </w:rPr>
            </w:pPr>
            <w:r>
              <w:rPr>
                <w:rFonts w:hint="eastAsia" w:ascii="宋体" w:hAnsi="宋体"/>
                <w:b/>
                <w:szCs w:val="20"/>
              </w:rPr>
              <w:t>评审因素</w:t>
            </w:r>
          </w:p>
        </w:tc>
        <w:tc>
          <w:tcPr>
            <w:tcW w:w="1786" w:type="dxa"/>
            <w:gridSpan w:val="2"/>
            <w:vAlign w:val="center"/>
          </w:tcPr>
          <w:p>
            <w:pPr>
              <w:snapToGrid w:val="0"/>
              <w:spacing w:line="264" w:lineRule="auto"/>
              <w:jc w:val="center"/>
              <w:rPr>
                <w:rFonts w:ascii="宋体" w:hAnsi="宋体"/>
                <w:b/>
                <w:szCs w:val="20"/>
              </w:rPr>
            </w:pPr>
            <w:r>
              <w:rPr>
                <w:rFonts w:hint="eastAsia" w:ascii="宋体" w:hAnsi="宋体"/>
                <w:b/>
                <w:szCs w:val="20"/>
              </w:rPr>
              <w:t>提交内容</w:t>
            </w:r>
          </w:p>
        </w:tc>
        <w:tc>
          <w:tcPr>
            <w:tcW w:w="2296" w:type="dxa"/>
            <w:vAlign w:val="center"/>
          </w:tcPr>
          <w:p>
            <w:pPr>
              <w:snapToGrid w:val="0"/>
              <w:spacing w:line="264" w:lineRule="auto"/>
              <w:jc w:val="center"/>
              <w:rPr>
                <w:rFonts w:ascii="宋体" w:hAnsi="宋体"/>
                <w:b/>
                <w:szCs w:val="20"/>
              </w:rPr>
            </w:pPr>
            <w:r>
              <w:rPr>
                <w:rFonts w:hint="eastAsia" w:ascii="宋体" w:hAnsi="宋体"/>
                <w:b/>
                <w:szCs w:val="20"/>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8561" w:type="dxa"/>
            <w:gridSpan w:val="6"/>
            <w:vAlign w:val="center"/>
          </w:tcPr>
          <w:p>
            <w:pPr>
              <w:snapToGrid w:val="0"/>
              <w:spacing w:line="264" w:lineRule="auto"/>
              <w:jc w:val="center"/>
              <w:rPr>
                <w:rFonts w:ascii="宋体" w:hAnsi="宋体"/>
                <w:b/>
                <w:bCs/>
                <w:sz w:val="24"/>
              </w:rPr>
            </w:pPr>
            <w:r>
              <w:rPr>
                <w:rFonts w:hint="eastAsia" w:ascii="宋体" w:hAnsi="宋体"/>
                <w:b/>
                <w:bCs/>
                <w:szCs w:val="20"/>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471" w:type="dxa"/>
            <w:vAlign w:val="center"/>
          </w:tcPr>
          <w:p>
            <w:pPr>
              <w:numPr>
                <w:ilvl w:val="0"/>
                <w:numId w:val="30"/>
              </w:numPr>
              <w:adjustRightInd w:val="0"/>
              <w:snapToGrid w:val="0"/>
              <w:spacing w:line="360" w:lineRule="auto"/>
              <w:textAlignment w:val="baseline"/>
              <w:rPr>
                <w:rFonts w:ascii="宋体" w:hAnsi="宋体"/>
                <w:sz w:val="24"/>
              </w:rPr>
            </w:pPr>
          </w:p>
        </w:tc>
        <w:tc>
          <w:tcPr>
            <w:tcW w:w="4008" w:type="dxa"/>
            <w:gridSpan w:val="2"/>
            <w:vAlign w:val="center"/>
          </w:tcPr>
          <w:p>
            <w:pPr>
              <w:snapToGrid w:val="0"/>
              <w:spacing w:line="360" w:lineRule="auto"/>
              <w:jc w:val="center"/>
              <w:rPr>
                <w:rFonts w:ascii="宋体" w:hAnsi="宋体"/>
                <w:sz w:val="24"/>
              </w:rPr>
            </w:pPr>
            <w:r>
              <w:rPr>
                <w:rFonts w:hint="eastAsia" w:ascii="宋体" w:hAnsi="宋体"/>
                <w:kern w:val="0"/>
                <w:szCs w:val="20"/>
              </w:rPr>
              <w:t>具有独立承担民事责任能力的在中华人民共和国境内注册的法人，或在民政部门登记的从事社会工作服务的民办非企业单位或社会团体或其他组织。</w:t>
            </w:r>
          </w:p>
        </w:tc>
        <w:tc>
          <w:tcPr>
            <w:tcW w:w="1786" w:type="dxa"/>
            <w:gridSpan w:val="2"/>
            <w:vAlign w:val="center"/>
          </w:tcPr>
          <w:p>
            <w:pPr>
              <w:snapToGrid w:val="0"/>
              <w:spacing w:line="360" w:lineRule="auto"/>
              <w:jc w:val="center"/>
              <w:rPr>
                <w:rFonts w:ascii="宋体" w:hAnsi="宋体"/>
                <w:kern w:val="0"/>
                <w:szCs w:val="20"/>
              </w:rPr>
            </w:pPr>
            <w:r>
              <w:rPr>
                <w:rFonts w:hint="eastAsia" w:ascii="宋体" w:hAnsi="宋体"/>
                <w:kern w:val="0"/>
                <w:szCs w:val="20"/>
              </w:rPr>
              <w:t>提供法人或其他组织的营业执照等证明材料。</w:t>
            </w:r>
          </w:p>
        </w:tc>
        <w:tc>
          <w:tcPr>
            <w:tcW w:w="2296" w:type="dxa"/>
            <w:vAlign w:val="center"/>
          </w:tcPr>
          <w:p>
            <w:pPr>
              <w:snapToGrid w:val="0"/>
              <w:spacing w:line="360"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71" w:type="dxa"/>
            <w:vAlign w:val="center"/>
          </w:tcPr>
          <w:p>
            <w:pPr>
              <w:numPr>
                <w:ilvl w:val="0"/>
                <w:numId w:val="30"/>
              </w:numPr>
              <w:adjustRightInd w:val="0"/>
              <w:snapToGrid w:val="0"/>
              <w:spacing w:line="360" w:lineRule="auto"/>
              <w:textAlignment w:val="baseline"/>
              <w:rPr>
                <w:rFonts w:ascii="宋体" w:hAnsi="宋体"/>
                <w:sz w:val="24"/>
              </w:rPr>
            </w:pPr>
          </w:p>
        </w:tc>
        <w:tc>
          <w:tcPr>
            <w:tcW w:w="4008" w:type="dxa"/>
            <w:gridSpan w:val="2"/>
            <w:vAlign w:val="center"/>
          </w:tcPr>
          <w:p>
            <w:pPr>
              <w:snapToGrid w:val="0"/>
              <w:spacing w:line="360" w:lineRule="auto"/>
              <w:jc w:val="center"/>
              <w:rPr>
                <w:rFonts w:hAnsi="宋体"/>
                <w:bCs/>
                <w:szCs w:val="20"/>
              </w:rPr>
            </w:pPr>
            <w:r>
              <w:rPr>
                <w:rFonts w:hint="eastAsia" w:ascii="宋体" w:hAnsi="宋体"/>
                <w:kern w:val="0"/>
                <w:szCs w:val="20"/>
              </w:rPr>
              <w:t>符合《中华人民共和国政府采购法》第二十二条规定。本项目不接受联合体参评。</w:t>
            </w:r>
          </w:p>
        </w:tc>
        <w:tc>
          <w:tcPr>
            <w:tcW w:w="1786" w:type="dxa"/>
            <w:gridSpan w:val="2"/>
            <w:vAlign w:val="center"/>
          </w:tcPr>
          <w:p>
            <w:pPr>
              <w:snapToGrid w:val="0"/>
              <w:spacing w:line="360" w:lineRule="auto"/>
              <w:jc w:val="center"/>
              <w:rPr>
                <w:rFonts w:ascii="宋体" w:hAnsi="宋体"/>
                <w:szCs w:val="20"/>
              </w:rPr>
            </w:pPr>
            <w:r>
              <w:rPr>
                <w:rFonts w:hint="eastAsia" w:ascii="宋体" w:hAnsi="宋体"/>
                <w:kern w:val="0"/>
                <w:szCs w:val="20"/>
              </w:rPr>
              <w:t>提供供应商资格声明函。</w:t>
            </w:r>
          </w:p>
        </w:tc>
        <w:tc>
          <w:tcPr>
            <w:tcW w:w="2296" w:type="dxa"/>
            <w:vAlign w:val="center"/>
          </w:tcPr>
          <w:p>
            <w:pPr>
              <w:snapToGrid w:val="0"/>
              <w:spacing w:line="360"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71" w:type="dxa"/>
            <w:vAlign w:val="center"/>
          </w:tcPr>
          <w:p>
            <w:pPr>
              <w:numPr>
                <w:ilvl w:val="0"/>
                <w:numId w:val="30"/>
              </w:numPr>
              <w:adjustRightInd w:val="0"/>
              <w:snapToGrid w:val="0"/>
              <w:spacing w:line="360" w:lineRule="auto"/>
              <w:textAlignment w:val="baseline"/>
              <w:rPr>
                <w:rFonts w:ascii="宋体" w:hAnsi="宋体"/>
                <w:sz w:val="24"/>
              </w:rPr>
            </w:pPr>
          </w:p>
        </w:tc>
        <w:tc>
          <w:tcPr>
            <w:tcW w:w="4008" w:type="dxa"/>
            <w:gridSpan w:val="2"/>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供应商未被列入“信用中国”网站(www.creditchina.gov.cn)以下情形之一：①失信被执行人；②重大税收违法失信主体；③政府采购严重违法失信行为（请前往信用中国网--点击“信用服务”--在信用分类查询中分别点击①失信被执行人；②重大税收违法失信主体；③政府采购严重违法失信行为，在以上三类跳转页面中输入公司名称后分别截图查询结果并加盖公章）③政府采购严重违法失信行为。同时，④在中国政府采购网(www.ccgp.gov.cn)“政府采购严重违法失信行为信息记录”中查询没有处于禁止参加政府采购活动的记录名单。</w:t>
            </w:r>
          </w:p>
        </w:tc>
        <w:tc>
          <w:tcPr>
            <w:tcW w:w="1786" w:type="dxa"/>
            <w:gridSpan w:val="2"/>
            <w:vAlign w:val="center"/>
          </w:tcPr>
          <w:p>
            <w:pPr>
              <w:snapToGrid w:val="0"/>
              <w:spacing w:line="360" w:lineRule="auto"/>
              <w:jc w:val="center"/>
              <w:rPr>
                <w:rFonts w:hint="eastAsia" w:ascii="宋体" w:hAnsi="宋体"/>
                <w:kern w:val="0"/>
                <w:szCs w:val="20"/>
              </w:rPr>
            </w:pPr>
            <w:r>
              <w:rPr>
                <w:rFonts w:hint="eastAsia" w:ascii="宋体" w:hAnsi="宋体"/>
                <w:kern w:val="0"/>
                <w:szCs w:val="20"/>
              </w:rPr>
              <w:t>按要求提供证明材料</w:t>
            </w:r>
          </w:p>
        </w:tc>
        <w:tc>
          <w:tcPr>
            <w:tcW w:w="2296" w:type="dxa"/>
            <w:vAlign w:val="center"/>
          </w:tcPr>
          <w:p>
            <w:pPr>
              <w:snapToGrid w:val="0"/>
              <w:spacing w:line="360" w:lineRule="auto"/>
              <w:jc w:val="center"/>
              <w:rPr>
                <w:rFonts w:hint="eastAsia"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61"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pPr>
              <w:adjustRightInd w:val="0"/>
              <w:snapToGrid w:val="0"/>
              <w:spacing w:line="360" w:lineRule="auto"/>
              <w:jc w:val="center"/>
              <w:textAlignment w:val="baseline"/>
              <w:rPr>
                <w:rFonts w:ascii="宋体" w:hAnsi="宋体"/>
                <w:b/>
                <w:szCs w:val="21"/>
              </w:rPr>
            </w:pPr>
            <w:r>
              <w:rPr>
                <w:rFonts w:hint="eastAsia" w:ascii="宋体" w:hAnsi="宋体"/>
                <w:b/>
                <w:szCs w:val="21"/>
              </w:rPr>
              <w:t>价格评审自查表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3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snapToGrid w:val="0"/>
              <w:spacing w:line="264" w:lineRule="auto"/>
              <w:ind w:left="-88" w:leftChars="-42" w:right="-82" w:rightChars="-39"/>
              <w:jc w:val="center"/>
              <w:rPr>
                <w:rFonts w:cs="Times New Roman"/>
                <w:b/>
                <w:sz w:val="24"/>
                <w:szCs w:val="21"/>
              </w:rPr>
            </w:pPr>
            <w:r>
              <w:rPr>
                <w:rFonts w:hint="eastAsia" w:cs="Times New Roman"/>
                <w:b/>
                <w:szCs w:val="21"/>
              </w:rPr>
              <w:t>序号</w:t>
            </w:r>
          </w:p>
        </w:tc>
        <w:tc>
          <w:tcPr>
            <w:tcW w:w="520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64" w:lineRule="auto"/>
              <w:jc w:val="center"/>
              <w:rPr>
                <w:rFonts w:cs="Times New Roman"/>
                <w:b/>
                <w:szCs w:val="21"/>
              </w:rPr>
            </w:pPr>
            <w:r>
              <w:rPr>
                <w:rFonts w:hint="eastAsia" w:cs="Times New Roman"/>
                <w:b/>
                <w:szCs w:val="21"/>
              </w:rPr>
              <w:t>文件要求</w:t>
            </w:r>
          </w:p>
        </w:tc>
        <w:tc>
          <w:tcPr>
            <w:tcW w:w="2722"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snapToGrid w:val="0"/>
              <w:spacing w:line="264" w:lineRule="auto"/>
              <w:jc w:val="center"/>
              <w:rPr>
                <w:rFonts w:cs="Times New Roman"/>
                <w:b/>
                <w:szCs w:val="21"/>
              </w:rPr>
            </w:pPr>
            <w:r>
              <w:rPr>
                <w:rFonts w:hint="eastAsia" w:cs="Times New Roman"/>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3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1"/>
              </w:numPr>
              <w:adjustRightInd w:val="0"/>
              <w:snapToGrid w:val="0"/>
              <w:spacing w:line="264" w:lineRule="auto"/>
              <w:textAlignment w:val="baseline"/>
              <w:rPr>
                <w:rFonts w:cs="Times New Roman"/>
                <w:sz w:val="24"/>
                <w:szCs w:val="24"/>
              </w:rPr>
            </w:pPr>
          </w:p>
        </w:tc>
        <w:tc>
          <w:tcPr>
            <w:tcW w:w="520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64" w:lineRule="auto"/>
              <w:rPr>
                <w:rFonts w:cs="Times New Roman"/>
                <w:szCs w:val="21"/>
              </w:rPr>
            </w:pPr>
            <w:r>
              <w:rPr>
                <w:rFonts w:hint="eastAsia" w:cs="Times New Roman"/>
                <w:szCs w:val="21"/>
              </w:rPr>
              <w:t>报价表</w:t>
            </w:r>
          </w:p>
        </w:tc>
        <w:tc>
          <w:tcPr>
            <w:tcW w:w="2722"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snapToGrid w:val="0"/>
              <w:jc w:val="center"/>
              <w:rPr>
                <w:rFonts w:cs="Times New Roman"/>
                <w:sz w:val="24"/>
                <w:szCs w:val="21"/>
              </w:rPr>
            </w:pPr>
            <w:r>
              <w:rPr>
                <w:rFonts w:hint="eastAsia" w:cs="Times New Roman"/>
                <w:szCs w:val="21"/>
              </w:rPr>
              <w:t>第（）页</w:t>
            </w:r>
          </w:p>
        </w:tc>
      </w:tr>
    </w:tbl>
    <w:p>
      <w:pPr>
        <w:pStyle w:val="2"/>
        <w:spacing w:line="360" w:lineRule="auto"/>
        <w:jc w:val="center"/>
        <w:rPr>
          <w:rFonts w:ascii="宋体" w:hAnsi="宋体" w:eastAsia="宋体"/>
        </w:rPr>
      </w:pPr>
      <w:r>
        <w:rPr>
          <w:rFonts w:hint="eastAsia" w:ascii="宋体" w:hAnsi="宋体" w:eastAsia="宋体"/>
        </w:rPr>
        <w:t>技术、商务评审目录</w:t>
      </w:r>
    </w:p>
    <w:tbl>
      <w:tblPr>
        <w:tblStyle w:val="13"/>
        <w:tblW w:w="85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826"/>
        <w:gridCol w:w="3835"/>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vAlign w:val="center"/>
          </w:tcPr>
          <w:p>
            <w:pPr>
              <w:snapToGrid w:val="0"/>
              <w:spacing w:line="360" w:lineRule="auto"/>
              <w:jc w:val="center"/>
              <w:rPr>
                <w:rFonts w:ascii="宋体" w:hAnsi="宋体"/>
                <w:b/>
                <w:szCs w:val="21"/>
              </w:rPr>
            </w:pPr>
            <w:r>
              <w:rPr>
                <w:rFonts w:hint="eastAsia" w:ascii="宋体" w:hAnsi="宋体"/>
                <w:b/>
                <w:szCs w:val="21"/>
              </w:rPr>
              <w:t>序号</w:t>
            </w:r>
          </w:p>
        </w:tc>
        <w:tc>
          <w:tcPr>
            <w:tcW w:w="1826" w:type="dxa"/>
            <w:vAlign w:val="center"/>
          </w:tcPr>
          <w:p>
            <w:pPr>
              <w:snapToGrid w:val="0"/>
              <w:spacing w:line="360" w:lineRule="auto"/>
              <w:jc w:val="center"/>
              <w:rPr>
                <w:rFonts w:ascii="宋体" w:hAnsi="宋体"/>
                <w:b/>
                <w:szCs w:val="21"/>
              </w:rPr>
            </w:pPr>
            <w:r>
              <w:rPr>
                <w:rFonts w:hint="eastAsia" w:ascii="宋体" w:hAnsi="宋体"/>
                <w:b/>
                <w:szCs w:val="21"/>
              </w:rPr>
              <w:t>评审因素</w:t>
            </w:r>
          </w:p>
        </w:tc>
        <w:tc>
          <w:tcPr>
            <w:tcW w:w="3835" w:type="dxa"/>
            <w:vAlign w:val="center"/>
          </w:tcPr>
          <w:p>
            <w:pPr>
              <w:snapToGrid w:val="0"/>
              <w:spacing w:line="360" w:lineRule="auto"/>
              <w:jc w:val="center"/>
              <w:rPr>
                <w:rFonts w:ascii="宋体" w:hAnsi="宋体"/>
                <w:b/>
                <w:szCs w:val="21"/>
              </w:rPr>
            </w:pPr>
            <w:r>
              <w:rPr>
                <w:rFonts w:hint="eastAsia" w:ascii="宋体" w:hAnsi="宋体"/>
                <w:b/>
                <w:szCs w:val="21"/>
              </w:rPr>
              <w:t>提交内容</w:t>
            </w:r>
          </w:p>
        </w:tc>
        <w:tc>
          <w:tcPr>
            <w:tcW w:w="2257" w:type="dxa"/>
            <w:vAlign w:val="center"/>
          </w:tcPr>
          <w:p>
            <w:pPr>
              <w:snapToGrid w:val="0"/>
              <w:spacing w:line="360" w:lineRule="auto"/>
              <w:jc w:val="center"/>
              <w:rPr>
                <w:rFonts w:ascii="宋体" w:hAnsi="宋体"/>
                <w:b/>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8582" w:type="dxa"/>
            <w:gridSpan w:val="4"/>
            <w:vAlign w:val="center"/>
          </w:tcPr>
          <w:p>
            <w:pPr>
              <w:snapToGrid w:val="0"/>
              <w:spacing w:line="360" w:lineRule="auto"/>
              <w:jc w:val="center"/>
              <w:rPr>
                <w:rFonts w:ascii="宋体" w:hAnsi="宋体"/>
                <w:b/>
                <w:bCs/>
                <w:szCs w:val="21"/>
              </w:rPr>
            </w:pPr>
            <w:r>
              <w:rPr>
                <w:rFonts w:hint="eastAsia" w:ascii="宋体" w:hAnsi="宋体"/>
                <w:b/>
                <w:bCs/>
                <w:szCs w:val="21"/>
              </w:rPr>
              <w:t>技术评审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vAlign w:val="center"/>
          </w:tcPr>
          <w:p>
            <w:pPr>
              <w:numPr>
                <w:ilvl w:val="0"/>
                <w:numId w:val="32"/>
              </w:numPr>
              <w:adjustRightInd w:val="0"/>
              <w:snapToGrid w:val="0"/>
              <w:spacing w:line="360" w:lineRule="auto"/>
              <w:jc w:val="center"/>
              <w:textAlignment w:val="baseline"/>
              <w:rPr>
                <w:rFonts w:ascii="宋体" w:hAnsi="宋体"/>
                <w:szCs w:val="21"/>
              </w:rPr>
            </w:pPr>
          </w:p>
        </w:tc>
        <w:tc>
          <w:tcPr>
            <w:tcW w:w="1826" w:type="dxa"/>
            <w:vAlign w:val="center"/>
          </w:tcPr>
          <w:p>
            <w:pPr>
              <w:spacing w:line="360" w:lineRule="auto"/>
              <w:jc w:val="center"/>
              <w:rPr>
                <w:rFonts w:ascii="宋体" w:hAnsi="宋体"/>
                <w:strike/>
                <w:szCs w:val="21"/>
              </w:rPr>
            </w:pPr>
            <w:r>
              <w:rPr>
                <w:rFonts w:hint="eastAsia" w:ascii="宋体" w:hAnsi="宋体"/>
                <w:szCs w:val="21"/>
                <w:lang w:bidi="ar"/>
              </w:rPr>
              <w:t>对项目的熟悉和了解程度</w:t>
            </w:r>
          </w:p>
        </w:tc>
        <w:tc>
          <w:tcPr>
            <w:tcW w:w="3835" w:type="dxa"/>
            <w:vAlign w:val="center"/>
          </w:tcPr>
          <w:p>
            <w:pPr>
              <w:spacing w:line="360" w:lineRule="auto"/>
              <w:jc w:val="center"/>
              <w:rPr>
                <w:rFonts w:ascii="宋体" w:hAnsi="宋体"/>
                <w:szCs w:val="21"/>
              </w:rPr>
            </w:pPr>
            <w:r>
              <w:rPr>
                <w:rFonts w:hint="eastAsia" w:ascii="宋体" w:hAnsi="宋体"/>
                <w:szCs w:val="21"/>
              </w:rPr>
              <w:t>根据评分细则提供相关的证明文件。</w:t>
            </w:r>
          </w:p>
        </w:tc>
        <w:tc>
          <w:tcPr>
            <w:tcW w:w="2257" w:type="dxa"/>
            <w:vAlign w:val="center"/>
          </w:tcPr>
          <w:p>
            <w:pPr>
              <w:snapToGrid w:val="0"/>
              <w:spacing w:line="360"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vAlign w:val="center"/>
          </w:tcPr>
          <w:p>
            <w:pPr>
              <w:numPr>
                <w:ilvl w:val="0"/>
                <w:numId w:val="32"/>
              </w:numPr>
              <w:adjustRightInd w:val="0"/>
              <w:snapToGrid w:val="0"/>
              <w:spacing w:line="360" w:lineRule="auto"/>
              <w:jc w:val="center"/>
              <w:textAlignment w:val="baseline"/>
              <w:rPr>
                <w:rFonts w:ascii="宋体" w:hAnsi="宋体"/>
                <w:szCs w:val="21"/>
              </w:rPr>
            </w:pPr>
          </w:p>
        </w:tc>
        <w:tc>
          <w:tcPr>
            <w:tcW w:w="1826" w:type="dxa"/>
            <w:vAlign w:val="center"/>
          </w:tcPr>
          <w:p>
            <w:pPr>
              <w:spacing w:line="360" w:lineRule="auto"/>
              <w:jc w:val="center"/>
              <w:rPr>
                <w:rFonts w:ascii="宋体" w:hAnsi="宋体"/>
                <w:spacing w:val="-20"/>
                <w:szCs w:val="21"/>
              </w:rPr>
            </w:pPr>
            <w:r>
              <w:rPr>
                <w:spacing w:val="7"/>
              </w:rPr>
              <w:t>工作计划</w:t>
            </w:r>
          </w:p>
        </w:tc>
        <w:tc>
          <w:tcPr>
            <w:tcW w:w="3835" w:type="dxa"/>
            <w:vAlign w:val="center"/>
          </w:tcPr>
          <w:p>
            <w:pPr>
              <w:spacing w:line="360" w:lineRule="auto"/>
              <w:jc w:val="center"/>
              <w:rPr>
                <w:rFonts w:ascii="宋体" w:hAnsi="宋体"/>
                <w:szCs w:val="21"/>
              </w:rPr>
            </w:pPr>
            <w:r>
              <w:rPr>
                <w:rFonts w:hint="eastAsia" w:ascii="宋体" w:hAnsi="宋体"/>
                <w:szCs w:val="21"/>
              </w:rPr>
              <w:t>根据评分细则提供相关的证明文件。</w:t>
            </w:r>
          </w:p>
        </w:tc>
        <w:tc>
          <w:tcPr>
            <w:tcW w:w="2257" w:type="dxa"/>
            <w:vAlign w:val="center"/>
          </w:tcPr>
          <w:p>
            <w:pPr>
              <w:snapToGrid w:val="0"/>
              <w:spacing w:line="360"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vAlign w:val="center"/>
          </w:tcPr>
          <w:p>
            <w:pPr>
              <w:numPr>
                <w:ilvl w:val="0"/>
                <w:numId w:val="32"/>
              </w:numPr>
              <w:adjustRightInd w:val="0"/>
              <w:snapToGrid w:val="0"/>
              <w:spacing w:line="360" w:lineRule="auto"/>
              <w:jc w:val="center"/>
              <w:textAlignment w:val="baseline"/>
              <w:rPr>
                <w:rFonts w:ascii="宋体" w:hAnsi="宋体"/>
                <w:szCs w:val="21"/>
              </w:rPr>
            </w:pPr>
          </w:p>
        </w:tc>
        <w:tc>
          <w:tcPr>
            <w:tcW w:w="1826" w:type="dxa"/>
            <w:vAlign w:val="center"/>
          </w:tcPr>
          <w:p>
            <w:pPr>
              <w:pStyle w:val="34"/>
              <w:snapToGrid w:val="0"/>
              <w:spacing w:line="360" w:lineRule="auto"/>
              <w:ind w:firstLine="0" w:firstLineChars="0"/>
              <w:jc w:val="center"/>
              <w:rPr>
                <w:rFonts w:ascii="宋体" w:hAnsi="宋体" w:eastAsia="宋体"/>
                <w:spacing w:val="-20"/>
                <w:szCs w:val="21"/>
              </w:rPr>
            </w:pPr>
            <w:r>
              <w:rPr>
                <w:rFonts w:hint="eastAsia" w:ascii="宋体" w:hAnsi="宋体" w:eastAsia="宋体"/>
                <w:sz w:val="21"/>
                <w:szCs w:val="21"/>
              </w:rPr>
              <w:t>工作技术思路</w:t>
            </w:r>
          </w:p>
        </w:tc>
        <w:tc>
          <w:tcPr>
            <w:tcW w:w="3835" w:type="dxa"/>
            <w:vAlign w:val="center"/>
          </w:tcPr>
          <w:p>
            <w:pPr>
              <w:snapToGrid w:val="0"/>
              <w:spacing w:line="360" w:lineRule="auto"/>
              <w:jc w:val="center"/>
              <w:rPr>
                <w:rFonts w:ascii="宋体" w:hAnsi="宋体"/>
                <w:szCs w:val="21"/>
              </w:rPr>
            </w:pPr>
            <w:r>
              <w:rPr>
                <w:rFonts w:hint="eastAsia" w:ascii="宋体" w:hAnsi="宋体"/>
                <w:szCs w:val="21"/>
              </w:rPr>
              <w:t>根据评分细则提供相关的证明文件。</w:t>
            </w:r>
          </w:p>
        </w:tc>
        <w:tc>
          <w:tcPr>
            <w:tcW w:w="2257" w:type="dxa"/>
            <w:vAlign w:val="center"/>
          </w:tcPr>
          <w:p>
            <w:pPr>
              <w:snapToGrid w:val="0"/>
              <w:spacing w:line="360"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vAlign w:val="center"/>
          </w:tcPr>
          <w:p>
            <w:pPr>
              <w:numPr>
                <w:ilvl w:val="0"/>
                <w:numId w:val="32"/>
              </w:numPr>
              <w:adjustRightInd w:val="0"/>
              <w:snapToGrid w:val="0"/>
              <w:spacing w:line="360" w:lineRule="auto"/>
              <w:jc w:val="center"/>
              <w:textAlignment w:val="baseline"/>
              <w:rPr>
                <w:rFonts w:ascii="宋体" w:hAnsi="宋体"/>
                <w:szCs w:val="21"/>
              </w:rPr>
            </w:pPr>
          </w:p>
        </w:tc>
        <w:tc>
          <w:tcPr>
            <w:tcW w:w="1826" w:type="dxa"/>
            <w:vAlign w:val="center"/>
          </w:tcPr>
          <w:p>
            <w:pPr>
              <w:spacing w:line="360" w:lineRule="auto"/>
              <w:ind w:left="-78" w:leftChars="-37" w:right="-73" w:rightChars="-35"/>
              <w:jc w:val="center"/>
              <w:rPr>
                <w:rFonts w:ascii="宋体" w:hAnsi="宋体"/>
                <w:spacing w:val="-20"/>
                <w:szCs w:val="21"/>
              </w:rPr>
            </w:pPr>
            <w:r>
              <w:rPr>
                <w:rFonts w:hint="eastAsia" w:ascii="宋体" w:hAnsi="宋体"/>
                <w:szCs w:val="21"/>
              </w:rPr>
              <w:t>服务便利性</w:t>
            </w:r>
          </w:p>
        </w:tc>
        <w:tc>
          <w:tcPr>
            <w:tcW w:w="3835" w:type="dxa"/>
            <w:vAlign w:val="center"/>
          </w:tcPr>
          <w:p>
            <w:pPr>
              <w:numPr>
                <w:ilvl w:val="255"/>
                <w:numId w:val="0"/>
              </w:numPr>
              <w:spacing w:line="360" w:lineRule="auto"/>
              <w:jc w:val="center"/>
              <w:rPr>
                <w:rFonts w:ascii="宋体" w:hAnsi="宋体"/>
                <w:szCs w:val="21"/>
              </w:rPr>
            </w:pPr>
            <w:r>
              <w:rPr>
                <w:rFonts w:hint="eastAsia" w:ascii="宋体" w:hAnsi="宋体"/>
                <w:szCs w:val="21"/>
              </w:rPr>
              <w:t>根据评分细则提供相关的证明文件。</w:t>
            </w:r>
          </w:p>
        </w:tc>
        <w:tc>
          <w:tcPr>
            <w:tcW w:w="2257" w:type="dxa"/>
            <w:vAlign w:val="center"/>
          </w:tcPr>
          <w:p>
            <w:pPr>
              <w:snapToGrid w:val="0"/>
              <w:spacing w:line="360"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82" w:type="dxa"/>
            <w:gridSpan w:val="4"/>
            <w:vAlign w:val="center"/>
          </w:tcPr>
          <w:p>
            <w:pPr>
              <w:snapToGrid w:val="0"/>
              <w:spacing w:line="360" w:lineRule="auto"/>
              <w:jc w:val="center"/>
              <w:rPr>
                <w:rFonts w:ascii="宋体" w:hAnsi="宋体"/>
                <w:szCs w:val="21"/>
              </w:rPr>
            </w:pPr>
            <w:r>
              <w:rPr>
                <w:rFonts w:hint="eastAsia" w:ascii="宋体" w:hAnsi="宋体" w:cs="Times New Roman"/>
                <w:b/>
                <w:szCs w:val="21"/>
              </w:rPr>
              <w:t>商务评审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tcBorders>
              <w:bottom w:val="single" w:color="auto" w:sz="4" w:space="0"/>
            </w:tcBorders>
            <w:vAlign w:val="center"/>
          </w:tcPr>
          <w:p>
            <w:pPr>
              <w:numPr>
                <w:ilvl w:val="0"/>
                <w:numId w:val="32"/>
              </w:numPr>
              <w:adjustRightInd w:val="0"/>
              <w:snapToGrid w:val="0"/>
              <w:spacing w:line="360" w:lineRule="auto"/>
              <w:jc w:val="center"/>
              <w:textAlignment w:val="baseline"/>
              <w:rPr>
                <w:rFonts w:ascii="宋体" w:hAnsi="宋体"/>
                <w:szCs w:val="21"/>
              </w:rPr>
            </w:pPr>
          </w:p>
        </w:tc>
        <w:tc>
          <w:tcPr>
            <w:tcW w:w="1826" w:type="dxa"/>
            <w:tcBorders>
              <w:bottom w:val="single" w:color="auto" w:sz="4" w:space="0"/>
            </w:tcBorders>
            <w:vAlign w:val="center"/>
          </w:tcPr>
          <w:p>
            <w:pPr>
              <w:snapToGrid w:val="0"/>
              <w:spacing w:line="360" w:lineRule="auto"/>
              <w:jc w:val="center"/>
              <w:rPr>
                <w:rFonts w:ascii="宋体" w:hAnsi="宋体"/>
                <w:szCs w:val="21"/>
              </w:rPr>
            </w:pPr>
            <w:r>
              <w:rPr>
                <w:rFonts w:hint="eastAsia"/>
                <w:szCs w:val="21"/>
              </w:rPr>
              <w:t>同类业绩</w:t>
            </w:r>
          </w:p>
        </w:tc>
        <w:tc>
          <w:tcPr>
            <w:tcW w:w="3835" w:type="dxa"/>
            <w:tcBorders>
              <w:bottom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根据评分细则提供相关的证明文件。</w:t>
            </w:r>
          </w:p>
        </w:tc>
        <w:tc>
          <w:tcPr>
            <w:tcW w:w="2257" w:type="dxa"/>
            <w:tcBorders>
              <w:bottom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64" w:type="dxa"/>
            <w:tcBorders>
              <w:top w:val="single" w:color="auto" w:sz="4" w:space="0"/>
              <w:left w:val="single" w:color="auto" w:sz="4" w:space="0"/>
              <w:bottom w:val="single" w:color="auto" w:sz="4" w:space="0"/>
            </w:tcBorders>
            <w:vAlign w:val="center"/>
          </w:tcPr>
          <w:p>
            <w:pPr>
              <w:numPr>
                <w:ilvl w:val="0"/>
                <w:numId w:val="32"/>
              </w:numPr>
              <w:adjustRightInd w:val="0"/>
              <w:snapToGrid w:val="0"/>
              <w:spacing w:line="360" w:lineRule="auto"/>
              <w:jc w:val="center"/>
              <w:textAlignment w:val="baseline"/>
              <w:rPr>
                <w:rFonts w:ascii="宋体" w:hAnsi="宋体"/>
                <w:szCs w:val="21"/>
              </w:rPr>
            </w:pPr>
          </w:p>
        </w:tc>
        <w:tc>
          <w:tcPr>
            <w:tcW w:w="1826" w:type="dxa"/>
            <w:tcBorders>
              <w:top w:val="single" w:color="auto" w:sz="4" w:space="0"/>
              <w:bottom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项目服务的专业技术人员配置</w:t>
            </w:r>
          </w:p>
        </w:tc>
        <w:tc>
          <w:tcPr>
            <w:tcW w:w="3835" w:type="dxa"/>
            <w:tcBorders>
              <w:top w:val="single" w:color="auto" w:sz="4" w:space="0"/>
              <w:bottom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根据评分细则提供相关的证明文件。</w:t>
            </w:r>
          </w:p>
        </w:tc>
        <w:tc>
          <w:tcPr>
            <w:tcW w:w="2257"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第（ ）页-（ ）页</w:t>
            </w:r>
          </w:p>
        </w:tc>
      </w:tr>
    </w:tbl>
    <w:p>
      <w:pPr>
        <w:pStyle w:val="4"/>
        <w:rPr>
          <w:lang w:val="zh-CN"/>
        </w:rPr>
      </w:pPr>
      <w:r>
        <w:rPr>
          <w:rFonts w:hint="eastAsia"/>
          <w:lang w:val="zh-CN"/>
        </w:rPr>
        <w:t>以上内容与用户需求的综合评分表内容不一致的，以用户需求内容为准。</w:t>
      </w:r>
    </w:p>
    <w:p>
      <w:pPr>
        <w:pStyle w:val="2"/>
        <w:spacing w:line="360" w:lineRule="auto"/>
        <w:jc w:val="center"/>
        <w:rPr>
          <w:rFonts w:ascii="宋体" w:hAnsi="宋体" w:eastAsia="宋体"/>
        </w:rPr>
      </w:pPr>
      <w:r>
        <w:rPr>
          <w:rFonts w:ascii="宋体" w:hAnsi="宋体" w:eastAsia="宋体"/>
        </w:rPr>
        <w:br w:type="page"/>
      </w:r>
      <w:r>
        <w:rPr>
          <w:rFonts w:hint="eastAsia" w:ascii="宋体" w:hAnsi="宋体" w:eastAsia="宋体"/>
        </w:rPr>
        <w:t>报价表</w:t>
      </w:r>
    </w:p>
    <w:tbl>
      <w:tblPr>
        <w:tblStyle w:val="13"/>
        <w:tblW w:w="95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1134"/>
        <w:gridCol w:w="1877"/>
        <w:gridCol w:w="1831"/>
        <w:gridCol w:w="1787"/>
        <w:gridCol w:w="10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1843" w:type="dxa"/>
            <w:shd w:val="clear" w:color="auto" w:fill="auto"/>
            <w:vAlign w:val="center"/>
          </w:tcPr>
          <w:p>
            <w:pPr>
              <w:spacing w:line="360" w:lineRule="auto"/>
              <w:jc w:val="center"/>
              <w:rPr>
                <w:rFonts w:ascii="宋体" w:hAnsi="宋体"/>
                <w:b/>
                <w:szCs w:val="21"/>
              </w:rPr>
            </w:pPr>
            <w:r>
              <w:rPr>
                <w:rFonts w:hint="eastAsia" w:ascii="宋体" w:hAnsi="宋体"/>
                <w:b/>
                <w:szCs w:val="21"/>
              </w:rPr>
              <w:t>项目名称</w:t>
            </w:r>
          </w:p>
        </w:tc>
        <w:tc>
          <w:tcPr>
            <w:tcW w:w="1134" w:type="dxa"/>
            <w:shd w:val="clear" w:color="auto" w:fill="auto"/>
            <w:vAlign w:val="center"/>
          </w:tcPr>
          <w:p>
            <w:pPr>
              <w:spacing w:line="360" w:lineRule="auto"/>
              <w:jc w:val="center"/>
              <w:rPr>
                <w:rFonts w:ascii="宋体" w:hAnsi="宋体"/>
                <w:b/>
                <w:szCs w:val="21"/>
              </w:rPr>
            </w:pPr>
            <w:r>
              <w:rPr>
                <w:rFonts w:hint="eastAsia" w:ascii="宋体" w:hAnsi="宋体"/>
                <w:b/>
                <w:szCs w:val="21"/>
              </w:rPr>
              <w:t>数量</w:t>
            </w:r>
          </w:p>
        </w:tc>
        <w:tc>
          <w:tcPr>
            <w:tcW w:w="1877" w:type="dxa"/>
            <w:vAlign w:val="center"/>
          </w:tcPr>
          <w:p>
            <w:pPr>
              <w:spacing w:line="360" w:lineRule="auto"/>
              <w:jc w:val="center"/>
              <w:rPr>
                <w:rFonts w:ascii="宋体" w:hAnsi="宋体"/>
                <w:b/>
                <w:szCs w:val="21"/>
              </w:rPr>
            </w:pPr>
            <w:r>
              <w:rPr>
                <w:rFonts w:hint="eastAsia" w:ascii="宋体" w:hAnsi="宋体"/>
                <w:b/>
                <w:szCs w:val="21"/>
              </w:rPr>
              <w:t>单价限价</w:t>
            </w:r>
          </w:p>
          <w:p>
            <w:pPr>
              <w:spacing w:line="360" w:lineRule="auto"/>
              <w:jc w:val="center"/>
              <w:rPr>
                <w:rFonts w:ascii="宋体" w:hAnsi="宋体"/>
                <w:b/>
                <w:szCs w:val="21"/>
              </w:rPr>
            </w:pPr>
            <w:r>
              <w:rPr>
                <w:rFonts w:hint="eastAsia" w:ascii="宋体" w:hAnsi="宋体"/>
                <w:b/>
                <w:szCs w:val="21"/>
              </w:rPr>
              <w:t>（人民币 元）</w:t>
            </w:r>
          </w:p>
        </w:tc>
        <w:tc>
          <w:tcPr>
            <w:tcW w:w="1831" w:type="dxa"/>
            <w:shd w:val="clear" w:color="auto" w:fill="auto"/>
            <w:vAlign w:val="center"/>
          </w:tcPr>
          <w:p>
            <w:pPr>
              <w:spacing w:line="360" w:lineRule="auto"/>
              <w:jc w:val="center"/>
              <w:rPr>
                <w:rFonts w:ascii="宋体" w:hAnsi="宋体"/>
                <w:b/>
                <w:szCs w:val="21"/>
              </w:rPr>
            </w:pPr>
            <w:r>
              <w:rPr>
                <w:rFonts w:hint="eastAsia" w:ascii="宋体" w:hAnsi="宋体"/>
                <w:b/>
                <w:szCs w:val="21"/>
              </w:rPr>
              <w:t>单价报价</w:t>
            </w:r>
          </w:p>
          <w:p>
            <w:pPr>
              <w:spacing w:line="360" w:lineRule="auto"/>
              <w:jc w:val="center"/>
              <w:rPr>
                <w:rFonts w:ascii="宋体" w:hAnsi="宋体"/>
                <w:b/>
                <w:szCs w:val="21"/>
              </w:rPr>
            </w:pPr>
            <w:r>
              <w:rPr>
                <w:rFonts w:hint="eastAsia" w:ascii="宋体" w:hAnsi="宋体"/>
                <w:b/>
                <w:szCs w:val="21"/>
              </w:rPr>
              <w:t>（人民币 元）</w:t>
            </w:r>
          </w:p>
        </w:tc>
        <w:tc>
          <w:tcPr>
            <w:tcW w:w="1787" w:type="dxa"/>
          </w:tcPr>
          <w:p>
            <w:pPr>
              <w:spacing w:line="360" w:lineRule="auto"/>
              <w:jc w:val="center"/>
              <w:rPr>
                <w:rFonts w:ascii="宋体" w:hAnsi="宋体"/>
                <w:b/>
                <w:szCs w:val="21"/>
              </w:rPr>
            </w:pPr>
            <w:r>
              <w:rPr>
                <w:rFonts w:hint="eastAsia" w:ascii="宋体" w:hAnsi="宋体"/>
                <w:b/>
                <w:szCs w:val="21"/>
              </w:rPr>
              <w:t>小计报价</w:t>
            </w:r>
          </w:p>
          <w:p>
            <w:pPr>
              <w:spacing w:line="360" w:lineRule="auto"/>
              <w:jc w:val="center"/>
              <w:rPr>
                <w:rFonts w:ascii="宋体" w:hAnsi="宋体"/>
                <w:b/>
                <w:szCs w:val="21"/>
              </w:rPr>
            </w:pPr>
            <w:r>
              <w:rPr>
                <w:rFonts w:hint="eastAsia" w:ascii="宋体" w:hAnsi="宋体"/>
                <w:b/>
                <w:szCs w:val="21"/>
              </w:rPr>
              <w:t>（人民币 元）</w:t>
            </w:r>
          </w:p>
        </w:tc>
        <w:tc>
          <w:tcPr>
            <w:tcW w:w="1091" w:type="dxa"/>
            <w:shd w:val="clear" w:color="auto" w:fill="auto"/>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43" w:type="dxa"/>
            <w:shd w:val="clear" w:color="auto" w:fill="auto"/>
            <w:vAlign w:val="center"/>
          </w:tcPr>
          <w:p>
            <w:pPr>
              <w:widowControl/>
              <w:spacing w:line="360" w:lineRule="auto"/>
              <w:jc w:val="center"/>
              <w:textAlignment w:val="center"/>
              <w:rPr>
                <w:rFonts w:ascii="宋体" w:hAnsi="宋体"/>
                <w:szCs w:val="21"/>
              </w:rPr>
            </w:pPr>
            <w:r>
              <w:rPr>
                <w:rFonts w:ascii="宋体" w:hAnsi="宋体"/>
                <w:szCs w:val="21"/>
              </w:rPr>
              <w:t>干预服务费</w:t>
            </w:r>
          </w:p>
        </w:tc>
        <w:tc>
          <w:tcPr>
            <w:tcW w:w="1134" w:type="dxa"/>
            <w:shd w:val="clear" w:color="auto" w:fill="auto"/>
            <w:vAlign w:val="center"/>
          </w:tcPr>
          <w:p>
            <w:pPr>
              <w:widowControl/>
              <w:spacing w:line="360" w:lineRule="auto"/>
              <w:jc w:val="center"/>
              <w:textAlignment w:val="center"/>
              <w:rPr>
                <w:rFonts w:ascii="宋体" w:hAnsi="宋体"/>
                <w:szCs w:val="21"/>
              </w:rPr>
            </w:pPr>
            <w:r>
              <w:rPr>
                <w:rFonts w:hint="eastAsia" w:ascii="宋体" w:hAnsi="宋体"/>
                <w:kern w:val="0"/>
                <w:szCs w:val="21"/>
              </w:rPr>
              <w:t>900人次</w:t>
            </w:r>
          </w:p>
        </w:tc>
        <w:tc>
          <w:tcPr>
            <w:tcW w:w="1877" w:type="dxa"/>
            <w:vAlign w:val="center"/>
          </w:tcPr>
          <w:p>
            <w:pPr>
              <w:keepNext/>
              <w:adjustRightInd w:val="0"/>
              <w:spacing w:line="360" w:lineRule="auto"/>
              <w:jc w:val="center"/>
              <w:textAlignment w:val="center"/>
              <w:rPr>
                <w:rFonts w:ascii="宋体" w:hAnsi="宋体"/>
                <w:kern w:val="0"/>
                <w:szCs w:val="21"/>
              </w:rPr>
            </w:pPr>
            <w:r>
              <w:rPr>
                <w:rFonts w:hint="eastAsia" w:ascii="宋体" w:hAnsi="宋体"/>
                <w:kern w:val="0"/>
                <w:szCs w:val="21"/>
              </w:rPr>
              <w:t>60元</w:t>
            </w:r>
          </w:p>
        </w:tc>
        <w:tc>
          <w:tcPr>
            <w:tcW w:w="1831" w:type="dxa"/>
            <w:shd w:val="clear" w:color="auto" w:fill="auto"/>
            <w:vAlign w:val="center"/>
          </w:tcPr>
          <w:p>
            <w:pPr>
              <w:spacing w:line="360" w:lineRule="auto"/>
              <w:jc w:val="center"/>
              <w:rPr>
                <w:rFonts w:ascii="宋体" w:hAnsi="宋体"/>
                <w:szCs w:val="21"/>
              </w:rPr>
            </w:pPr>
          </w:p>
        </w:tc>
        <w:tc>
          <w:tcPr>
            <w:tcW w:w="1787" w:type="dxa"/>
            <w:vAlign w:val="center"/>
          </w:tcPr>
          <w:p>
            <w:pPr>
              <w:spacing w:line="360" w:lineRule="auto"/>
              <w:jc w:val="center"/>
              <w:rPr>
                <w:rFonts w:ascii="宋体" w:hAnsi="宋体"/>
                <w:szCs w:val="21"/>
              </w:rPr>
            </w:pPr>
          </w:p>
        </w:tc>
        <w:tc>
          <w:tcPr>
            <w:tcW w:w="1091" w:type="dxa"/>
            <w:shd w:val="clear" w:color="auto" w:fill="auto"/>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843" w:type="dxa"/>
            <w:shd w:val="clear" w:color="auto" w:fill="auto"/>
            <w:vAlign w:val="center"/>
          </w:tcPr>
          <w:p>
            <w:pPr>
              <w:widowControl/>
              <w:spacing w:line="360" w:lineRule="auto"/>
              <w:jc w:val="center"/>
              <w:textAlignment w:val="center"/>
              <w:rPr>
                <w:rFonts w:ascii="宋体" w:hAnsi="宋体"/>
                <w:szCs w:val="21"/>
              </w:rPr>
            </w:pPr>
            <w:r>
              <w:rPr>
                <w:rFonts w:ascii="宋体" w:hAnsi="宋体"/>
                <w:szCs w:val="21"/>
              </w:rPr>
              <w:t>检测服务费</w:t>
            </w:r>
          </w:p>
        </w:tc>
        <w:tc>
          <w:tcPr>
            <w:tcW w:w="1134" w:type="dxa"/>
            <w:shd w:val="clear" w:color="auto" w:fill="auto"/>
            <w:vAlign w:val="center"/>
          </w:tcPr>
          <w:p>
            <w:pPr>
              <w:widowControl/>
              <w:spacing w:line="360" w:lineRule="auto"/>
              <w:jc w:val="center"/>
              <w:textAlignment w:val="center"/>
              <w:rPr>
                <w:rFonts w:ascii="宋体" w:hAnsi="宋体"/>
                <w:kern w:val="0"/>
                <w:szCs w:val="21"/>
              </w:rPr>
            </w:pPr>
            <w:r>
              <w:rPr>
                <w:rFonts w:hint="eastAsia" w:ascii="宋体" w:hAnsi="宋体"/>
                <w:kern w:val="0"/>
                <w:szCs w:val="21"/>
              </w:rPr>
              <w:t>300人次</w:t>
            </w:r>
          </w:p>
        </w:tc>
        <w:tc>
          <w:tcPr>
            <w:tcW w:w="1877" w:type="dxa"/>
            <w:vAlign w:val="center"/>
          </w:tcPr>
          <w:p>
            <w:pPr>
              <w:keepNext/>
              <w:adjustRightInd w:val="0"/>
              <w:spacing w:line="360" w:lineRule="auto"/>
              <w:jc w:val="center"/>
              <w:textAlignment w:val="center"/>
              <w:rPr>
                <w:rFonts w:ascii="宋体" w:hAnsi="宋体"/>
                <w:kern w:val="0"/>
                <w:szCs w:val="21"/>
              </w:rPr>
            </w:pPr>
            <w:r>
              <w:rPr>
                <w:rFonts w:hint="eastAsia" w:ascii="宋体" w:hAnsi="宋体"/>
                <w:kern w:val="0"/>
                <w:szCs w:val="21"/>
              </w:rPr>
              <w:t>18元</w:t>
            </w:r>
          </w:p>
        </w:tc>
        <w:tc>
          <w:tcPr>
            <w:tcW w:w="1831" w:type="dxa"/>
            <w:shd w:val="clear" w:color="auto" w:fill="auto"/>
            <w:vAlign w:val="center"/>
          </w:tcPr>
          <w:p>
            <w:pPr>
              <w:spacing w:line="360" w:lineRule="auto"/>
              <w:jc w:val="center"/>
              <w:rPr>
                <w:rFonts w:ascii="宋体" w:hAnsi="宋体"/>
                <w:szCs w:val="21"/>
              </w:rPr>
            </w:pPr>
          </w:p>
        </w:tc>
        <w:tc>
          <w:tcPr>
            <w:tcW w:w="1787" w:type="dxa"/>
            <w:vAlign w:val="center"/>
          </w:tcPr>
          <w:p>
            <w:pPr>
              <w:spacing w:line="360" w:lineRule="auto"/>
              <w:jc w:val="center"/>
              <w:rPr>
                <w:rFonts w:ascii="宋体" w:hAnsi="宋体"/>
                <w:szCs w:val="21"/>
              </w:rPr>
            </w:pPr>
          </w:p>
        </w:tc>
        <w:tc>
          <w:tcPr>
            <w:tcW w:w="1091" w:type="dxa"/>
            <w:shd w:val="clear" w:color="auto" w:fill="auto"/>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9563" w:type="dxa"/>
            <w:gridSpan w:val="6"/>
            <w:shd w:val="clear" w:color="auto" w:fill="auto"/>
            <w:vAlign w:val="center"/>
          </w:tcPr>
          <w:p>
            <w:pPr>
              <w:spacing w:line="360" w:lineRule="auto"/>
              <w:jc w:val="center"/>
              <w:rPr>
                <w:rFonts w:ascii="宋体" w:hAnsi="宋体"/>
                <w:szCs w:val="21"/>
              </w:rPr>
            </w:pPr>
            <w:r>
              <w:rPr>
                <w:rFonts w:hint="eastAsia"/>
                <w:b/>
                <w:bCs/>
                <w:color w:val="000000"/>
                <w:szCs w:val="21"/>
              </w:rPr>
              <w:t>合计（每项小计之和）：人民币</w:t>
            </w:r>
            <w:r>
              <w:rPr>
                <w:rFonts w:hint="eastAsia"/>
                <w:b/>
                <w:bCs/>
                <w:color w:val="000000"/>
                <w:szCs w:val="21"/>
                <w:u w:val="single"/>
              </w:rPr>
              <w:t>           </w:t>
            </w:r>
            <w:r>
              <w:rPr>
                <w:rFonts w:hint="eastAsia" w:ascii="微软雅黑" w:hAnsi="微软雅黑" w:eastAsia="微软雅黑"/>
                <w:color w:val="000000"/>
                <w:sz w:val="27"/>
                <w:szCs w:val="27"/>
              </w:rPr>
              <w:t> </w:t>
            </w:r>
            <w:r>
              <w:rPr>
                <w:rFonts w:hint="eastAsia"/>
                <w:b/>
                <w:bCs/>
                <w:color w:val="000000"/>
                <w:szCs w:val="21"/>
              </w:rPr>
              <w:t>元</w:t>
            </w:r>
          </w:p>
        </w:tc>
      </w:tr>
    </w:tbl>
    <w:p/>
    <w:p>
      <w:pPr>
        <w:spacing w:line="360" w:lineRule="auto"/>
        <w:rPr>
          <w:rFonts w:ascii="宋体" w:hAnsi="宋体"/>
          <w:b/>
          <w:spacing w:val="4"/>
          <w:szCs w:val="21"/>
        </w:rPr>
      </w:pPr>
      <w:r>
        <w:rPr>
          <w:rFonts w:hint="eastAsia" w:ascii="宋体" w:hAnsi="宋体"/>
          <w:b/>
          <w:spacing w:val="4"/>
          <w:szCs w:val="21"/>
        </w:rPr>
        <w:t>注：</w:t>
      </w:r>
    </w:p>
    <w:p>
      <w:pPr>
        <w:pStyle w:val="10"/>
        <w:numPr>
          <w:ilvl w:val="0"/>
          <w:numId w:val="33"/>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pPr>
        <w:pStyle w:val="10"/>
        <w:numPr>
          <w:ilvl w:val="0"/>
          <w:numId w:val="33"/>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pPr>
        <w:pStyle w:val="10"/>
        <w:numPr>
          <w:ilvl w:val="0"/>
          <w:numId w:val="33"/>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pPr>
        <w:pStyle w:val="10"/>
        <w:numPr>
          <w:ilvl w:val="0"/>
          <w:numId w:val="33"/>
        </w:numPr>
        <w:shd w:val="clear" w:color="auto" w:fill="FFFFFF"/>
        <w:spacing w:before="0" w:beforeAutospacing="0" w:after="0" w:afterAutospacing="0"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报价表必须加盖单位公章，否则视为无效报价。</w:t>
      </w:r>
    </w:p>
    <w:p>
      <w:pPr>
        <w:wordWrap w:val="0"/>
        <w:spacing w:line="360" w:lineRule="auto"/>
        <w:jc w:val="right"/>
        <w:rPr>
          <w:rFonts w:ascii="宋体" w:hAnsi="宋体"/>
          <w:spacing w:val="4"/>
          <w:szCs w:val="21"/>
        </w:rPr>
      </w:pPr>
    </w:p>
    <w:p>
      <w:pPr>
        <w:wordWrap w:val="0"/>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jc w:val="right"/>
        <w:rPr>
          <w:rFonts w:ascii="宋体" w:hAnsi="宋体"/>
          <w:szCs w:val="21"/>
          <w:u w:val="single"/>
        </w:rPr>
      </w:pPr>
    </w:p>
    <w:p>
      <w:pPr>
        <w:wordWrap w:val="0"/>
        <w:spacing w:line="360" w:lineRule="auto"/>
        <w:jc w:val="right"/>
        <w:rPr>
          <w:rFonts w:ascii="宋体" w:hAnsi="宋体"/>
          <w:szCs w:val="21"/>
          <w:u w:val="single"/>
        </w:rPr>
      </w:pPr>
      <w:r>
        <w:rPr>
          <w:rFonts w:hint="eastAsia" w:ascii="宋体" w:hAnsi="宋体"/>
          <w:spacing w:val="4"/>
          <w:szCs w:val="21"/>
        </w:rPr>
        <w:t>日期：</w:t>
      </w:r>
    </w:p>
    <w:p>
      <w:pPr>
        <w:widowControl/>
        <w:jc w:val="left"/>
        <w:rPr>
          <w:rFonts w:ascii="宋体" w:hAnsi="宋体" w:cs="Times New Roman"/>
          <w:sz w:val="32"/>
          <w:szCs w:val="32"/>
        </w:rPr>
      </w:pPr>
      <w:r>
        <w:rPr>
          <w:rFonts w:ascii="宋体" w:hAnsi="宋体"/>
          <w:b/>
          <w:bCs/>
        </w:rPr>
        <w:br w:type="page"/>
      </w:r>
    </w:p>
    <w:p>
      <w:pPr>
        <w:pStyle w:val="2"/>
        <w:spacing w:before="0" w:after="0"/>
        <w:jc w:val="center"/>
      </w:pPr>
      <w:r>
        <w:rPr>
          <w:rFonts w:hint="eastAsia"/>
        </w:rPr>
        <w:t>供应商资格声明函</w:t>
      </w:r>
    </w:p>
    <w:p>
      <w:pPr>
        <w:spacing w:before="156" w:beforeLines="50" w:after="156" w:afterLines="50" w:line="360" w:lineRule="auto"/>
        <w:rPr>
          <w:rFonts w:ascii="宋体" w:hAnsi="宋体"/>
          <w:b/>
          <w:szCs w:val="21"/>
        </w:rPr>
      </w:pPr>
      <w:r>
        <w:rPr>
          <w:rFonts w:hint="eastAsia" w:ascii="宋体" w:hAnsi="宋体"/>
          <w:b/>
          <w:szCs w:val="21"/>
        </w:rPr>
        <w:t>致：珠海高新技术产业开发区公共卫生指导服务中心、</w:t>
      </w:r>
      <w:r>
        <w:rPr>
          <w:b/>
        </w:rPr>
        <w:t>云采链（广州）信息科技有限公司</w:t>
      </w:r>
    </w:p>
    <w:p>
      <w:pPr>
        <w:snapToGrid w:val="0"/>
        <w:spacing w:line="360" w:lineRule="auto"/>
        <w:ind w:firstLine="424" w:firstLineChars="202"/>
        <w:rPr>
          <w:rFonts w:ascii="宋体" w:hAnsi="宋体"/>
          <w:szCs w:val="24"/>
        </w:rPr>
      </w:pPr>
      <w:r>
        <w:rPr>
          <w:rFonts w:hint="eastAsia" w:ascii="宋体" w:hAnsi="宋体"/>
          <w:szCs w:val="24"/>
        </w:rPr>
        <w:t>关于贵公司发布</w:t>
      </w:r>
      <w:r>
        <w:rPr>
          <w:rFonts w:hint="eastAsia" w:ascii="宋体" w:hAnsi="宋体"/>
          <w:b/>
          <w:bCs/>
          <w:szCs w:val="24"/>
          <w:u w:val="single"/>
        </w:rPr>
        <w:t>珠海高新技术产业开发区公共卫生指导服务中心</w:t>
      </w:r>
      <w:r>
        <w:rPr>
          <w:rFonts w:hint="eastAsia" w:ascii="宋体" w:hAnsi="宋体"/>
          <w:b/>
          <w:kern w:val="0"/>
          <w:szCs w:val="21"/>
          <w:u w:val="single"/>
        </w:rPr>
        <w:t>艾滋病防治服务（2024年男男性行为人群（MSM）干预检测）采购项目</w:t>
      </w:r>
      <w:r>
        <w:rPr>
          <w:rFonts w:hint="eastAsia" w:ascii="宋体" w:hAnsi="宋体"/>
          <w:szCs w:val="24"/>
        </w:rPr>
        <w:t>的采购公告，本公司（企业）愿意参加</w:t>
      </w:r>
      <w:r>
        <w:rPr>
          <w:rFonts w:hint="eastAsia" w:ascii="宋体" w:hAnsi="宋体"/>
          <w:szCs w:val="21"/>
        </w:rPr>
        <w:t>综合评审</w:t>
      </w:r>
      <w:r>
        <w:rPr>
          <w:rFonts w:hint="eastAsia" w:ascii="宋体" w:hAnsi="宋体"/>
          <w:szCs w:val="24"/>
        </w:rPr>
        <w:t>，并声明：</w:t>
      </w:r>
    </w:p>
    <w:p>
      <w:pPr>
        <w:snapToGrid w:val="0"/>
        <w:spacing w:line="360" w:lineRule="auto"/>
        <w:ind w:firstLine="420" w:firstLineChars="200"/>
        <w:rPr>
          <w:rFonts w:ascii="宋体" w:hAnsi="宋体"/>
          <w:bCs/>
          <w:szCs w:val="20"/>
        </w:rPr>
      </w:pPr>
      <w:r>
        <w:rPr>
          <w:rFonts w:hint="eastAsia" w:ascii="宋体" w:hAnsi="宋体"/>
          <w:szCs w:val="24"/>
        </w:rPr>
        <w:t>一、本公司（企业）</w:t>
      </w:r>
      <w:r>
        <w:rPr>
          <w:rFonts w:hint="eastAsia" w:ascii="宋体" w:hAnsi="宋体"/>
          <w:bCs/>
          <w:szCs w:val="20"/>
        </w:rPr>
        <w:t>具备《中华人民共和国政府采购法》第二十二条规定的条件：</w:t>
      </w:r>
    </w:p>
    <w:p>
      <w:pPr>
        <w:widowControl/>
        <w:spacing w:line="360" w:lineRule="auto"/>
        <w:ind w:firstLine="360"/>
        <w:rPr>
          <w:rFonts w:ascii="宋体" w:hAnsi="宋体"/>
          <w:kern w:val="0"/>
          <w:szCs w:val="21"/>
        </w:rPr>
      </w:pPr>
      <w:r>
        <w:rPr>
          <w:rFonts w:hint="eastAsia" w:ascii="宋体" w:hAnsi="宋体"/>
          <w:kern w:val="0"/>
          <w:szCs w:val="21"/>
        </w:rPr>
        <w:t>（一）具有独立承担民事责任的能力；</w:t>
      </w:r>
    </w:p>
    <w:p>
      <w:pPr>
        <w:widowControl/>
        <w:spacing w:line="360" w:lineRule="auto"/>
        <w:ind w:firstLine="360"/>
        <w:rPr>
          <w:rFonts w:ascii="宋体" w:hAnsi="宋体"/>
          <w:kern w:val="0"/>
          <w:szCs w:val="21"/>
        </w:rPr>
      </w:pPr>
      <w:r>
        <w:rPr>
          <w:rFonts w:hint="eastAsia" w:ascii="宋体" w:hAnsi="宋体"/>
          <w:kern w:val="0"/>
          <w:szCs w:val="21"/>
        </w:rPr>
        <w:t>（二）具有良好的商业信誉和健全的财务会计制度；</w:t>
      </w:r>
    </w:p>
    <w:p>
      <w:pPr>
        <w:widowControl/>
        <w:spacing w:line="360" w:lineRule="auto"/>
        <w:ind w:firstLine="360"/>
        <w:rPr>
          <w:rFonts w:ascii="宋体" w:hAnsi="宋体"/>
          <w:kern w:val="0"/>
          <w:szCs w:val="21"/>
        </w:rPr>
      </w:pPr>
      <w:r>
        <w:rPr>
          <w:rFonts w:hint="eastAsia" w:ascii="宋体" w:hAnsi="宋体"/>
          <w:kern w:val="0"/>
          <w:szCs w:val="21"/>
        </w:rPr>
        <w:t>（三）具有履行合同所必需的设备和专业技术能力；</w:t>
      </w:r>
    </w:p>
    <w:p>
      <w:pPr>
        <w:widowControl/>
        <w:spacing w:line="360" w:lineRule="auto"/>
        <w:ind w:firstLine="360"/>
        <w:rPr>
          <w:rFonts w:ascii="宋体" w:hAnsi="宋体"/>
          <w:kern w:val="0"/>
          <w:szCs w:val="21"/>
        </w:rPr>
      </w:pPr>
      <w:r>
        <w:rPr>
          <w:rFonts w:hint="eastAsia" w:ascii="宋体" w:hAnsi="宋体"/>
          <w:kern w:val="0"/>
          <w:szCs w:val="21"/>
        </w:rPr>
        <w:t>（四）有依法缴纳税收和社会保障资金的良好记录；</w:t>
      </w:r>
    </w:p>
    <w:p>
      <w:pPr>
        <w:widowControl/>
        <w:spacing w:line="360" w:lineRule="auto"/>
        <w:ind w:firstLine="360"/>
        <w:rPr>
          <w:rFonts w:ascii="宋体" w:hAnsi="宋体"/>
          <w:kern w:val="0"/>
          <w:szCs w:val="21"/>
        </w:rPr>
      </w:pPr>
      <w:r>
        <w:rPr>
          <w:rFonts w:hint="eastAsia" w:ascii="宋体" w:hAnsi="宋体"/>
          <w:kern w:val="0"/>
          <w:szCs w:val="21"/>
        </w:rPr>
        <w:t>（五）参加政府采购活动前三年内，在经营活动中没有重大违法记录；</w:t>
      </w:r>
    </w:p>
    <w:p>
      <w:pPr>
        <w:widowControl/>
        <w:spacing w:line="360" w:lineRule="auto"/>
        <w:ind w:firstLine="360"/>
        <w:rPr>
          <w:rFonts w:ascii="宋体" w:hAnsi="宋体"/>
          <w:kern w:val="0"/>
          <w:szCs w:val="21"/>
        </w:rPr>
      </w:pPr>
      <w:r>
        <w:rPr>
          <w:rFonts w:hint="eastAsia" w:ascii="宋体" w:hAnsi="宋体"/>
          <w:kern w:val="0"/>
          <w:szCs w:val="21"/>
        </w:rPr>
        <w:t>（六）法律、行政法规规定的其他条件。</w:t>
      </w:r>
    </w:p>
    <w:p>
      <w:pPr>
        <w:snapToGrid w:val="0"/>
        <w:spacing w:line="360" w:lineRule="auto"/>
        <w:ind w:firstLine="424" w:firstLineChars="202"/>
        <w:rPr>
          <w:rFonts w:ascii="宋体" w:hAnsi="宋体"/>
          <w:szCs w:val="24"/>
        </w:rPr>
      </w:pPr>
      <w:r>
        <w:rPr>
          <w:rFonts w:hint="eastAsia" w:ascii="宋体" w:hAnsi="宋体"/>
          <w:szCs w:val="24"/>
        </w:rPr>
        <w:t>二、本公司具有本次采购项目服务能力。</w:t>
      </w:r>
    </w:p>
    <w:p>
      <w:pPr>
        <w:snapToGrid w:val="0"/>
        <w:spacing w:line="360" w:lineRule="auto"/>
        <w:ind w:firstLine="424" w:firstLineChars="202"/>
        <w:rPr>
          <w:rFonts w:ascii="宋体" w:hAnsi="宋体"/>
          <w:szCs w:val="24"/>
        </w:rPr>
      </w:pPr>
      <w:r>
        <w:rPr>
          <w:rFonts w:hint="eastAsia" w:ascii="宋体" w:hAnsi="宋体"/>
          <w:szCs w:val="24"/>
        </w:rPr>
        <w:t>三、本公司有固定的经营场所，信誉良好、售后维护服务好，并且在经营活动中无严重违法记录。</w:t>
      </w:r>
    </w:p>
    <w:p>
      <w:pPr>
        <w:snapToGrid w:val="0"/>
        <w:spacing w:line="360" w:lineRule="auto"/>
        <w:ind w:firstLine="424" w:firstLineChars="202"/>
        <w:rPr>
          <w:rFonts w:ascii="宋体" w:hAnsi="宋体"/>
          <w:szCs w:val="24"/>
        </w:rPr>
      </w:pPr>
      <w:r>
        <w:rPr>
          <w:rFonts w:hint="eastAsia" w:ascii="宋体" w:hAnsi="宋体"/>
          <w:szCs w:val="24"/>
        </w:rPr>
        <w:t>四、参与本项目政府采购活动时不存在被有关部门禁止参与政府采购活动且在有效期内的情况。</w:t>
      </w:r>
    </w:p>
    <w:p>
      <w:pPr>
        <w:spacing w:line="360" w:lineRule="auto"/>
        <w:ind w:firstLine="424"/>
        <w:rPr>
          <w:rFonts w:eastAsia="PMingLiU"/>
          <w:lang w:val="zh-TW" w:eastAsia="zh-TW"/>
        </w:rPr>
      </w:pPr>
      <w:r>
        <w:rPr>
          <w:rFonts w:hint="eastAsia" w:ascii="宋体" w:hAnsi="宋体"/>
          <w:lang w:val="zh-TW" w:eastAsia="zh-TW"/>
        </w:rPr>
        <w:t>五</w:t>
      </w:r>
      <w:r>
        <w:rPr>
          <w:rFonts w:ascii="宋体" w:hAnsi="宋体"/>
          <w:lang w:val="zh-TW" w:eastAsia="zh-TW"/>
        </w:rPr>
        <w:t>、本公司在本项目中不转包分包且不联合</w:t>
      </w:r>
      <w:r>
        <w:rPr>
          <w:rFonts w:hint="eastAsia" w:ascii="宋体" w:hAnsi="宋体"/>
          <w:lang w:val="zh-TW" w:eastAsia="zh-TW"/>
        </w:rPr>
        <w:t>参评</w:t>
      </w:r>
      <w:r>
        <w:rPr>
          <w:rFonts w:ascii="宋体" w:hAnsi="宋体"/>
          <w:lang w:val="zh-TW" w:eastAsia="zh-TW"/>
        </w:rPr>
        <w:t>。</w:t>
      </w:r>
    </w:p>
    <w:p>
      <w:pPr>
        <w:snapToGrid w:val="0"/>
        <w:spacing w:line="360" w:lineRule="auto"/>
        <w:ind w:firstLine="424" w:firstLineChars="202"/>
        <w:rPr>
          <w:rFonts w:ascii="宋体" w:hAnsi="宋体"/>
          <w:szCs w:val="24"/>
        </w:rPr>
      </w:pPr>
      <w:r>
        <w:rPr>
          <w:rFonts w:hint="eastAsia" w:ascii="宋体" w:hAnsi="宋体"/>
          <w:szCs w:val="24"/>
        </w:rPr>
        <w:t>本公司（企业）承诺在本次采购活动中，如有违法、违规</w:t>
      </w:r>
      <w:r>
        <w:rPr>
          <w:rFonts w:hint="eastAsia" w:ascii="宋体" w:hAnsi="宋体"/>
          <w:szCs w:val="21"/>
        </w:rPr>
        <w:t>、</w:t>
      </w:r>
      <w:r>
        <w:rPr>
          <w:rFonts w:hint="eastAsia" w:ascii="宋体" w:hAnsi="宋体"/>
          <w:szCs w:val="24"/>
        </w:rPr>
        <w:t>弄虚作假行为，所造成的损失、不良后果及法律责任，一律由我公司（企业）承担。</w:t>
      </w:r>
    </w:p>
    <w:p>
      <w:pPr>
        <w:spacing w:line="360" w:lineRule="auto"/>
        <w:ind w:firstLine="420"/>
        <w:rPr>
          <w:rFonts w:ascii="Times New Roman" w:hAnsi="Times New Roman"/>
          <w:szCs w:val="24"/>
        </w:rPr>
      </w:pPr>
      <w:r>
        <w:rPr>
          <w:rFonts w:hint="eastAsia" w:ascii="Times New Roman" w:hAnsi="Times New Roman"/>
          <w:szCs w:val="24"/>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20"/>
        <w:numPr>
          <w:ilvl w:val="0"/>
          <w:numId w:val="34"/>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pPr>
        <w:pStyle w:val="20"/>
        <w:numPr>
          <w:ilvl w:val="0"/>
          <w:numId w:val="34"/>
        </w:numPr>
        <w:snapToGrid w:val="0"/>
        <w:spacing w:line="360" w:lineRule="auto"/>
        <w:ind w:firstLineChars="0"/>
        <w:rPr>
          <w:rFonts w:ascii="宋体" w:hAnsi="宋体"/>
          <w:szCs w:val="21"/>
        </w:rPr>
      </w:pPr>
      <w:r>
        <w:rPr>
          <w:rFonts w:hint="eastAsia" w:ascii="宋体" w:hAnsi="宋体"/>
          <w:szCs w:val="21"/>
        </w:rPr>
        <w:t>本声明函如有虚假或与事实不符的，作无效参评处理。</w:t>
      </w:r>
    </w:p>
    <w:p>
      <w:pPr>
        <w:wordWrap w:val="0"/>
        <w:spacing w:line="360" w:lineRule="auto"/>
        <w:ind w:left="840"/>
        <w:jc w:val="right"/>
        <w:rPr>
          <w:rFonts w:ascii="宋体" w:hAnsi="宋体"/>
          <w:spacing w:val="4"/>
          <w:szCs w:val="21"/>
        </w:rPr>
      </w:pPr>
    </w:p>
    <w:p>
      <w:pPr>
        <w:wordWrap w:val="0"/>
        <w:spacing w:line="360" w:lineRule="auto"/>
        <w:ind w:left="84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ind w:left="840"/>
        <w:jc w:val="right"/>
        <w:rPr>
          <w:rFonts w:ascii="宋体" w:hAnsi="宋体"/>
          <w:szCs w:val="21"/>
          <w:u w:val="single"/>
        </w:rPr>
      </w:pPr>
    </w:p>
    <w:p>
      <w:pPr>
        <w:wordWrap w:val="0"/>
        <w:spacing w:line="360" w:lineRule="auto"/>
        <w:ind w:left="840"/>
        <w:jc w:val="right"/>
        <w:rPr>
          <w:rFonts w:ascii="宋体" w:hAnsi="宋体"/>
          <w:szCs w:val="21"/>
          <w:u w:val="single"/>
        </w:rPr>
      </w:pPr>
      <w:r>
        <w:rPr>
          <w:rFonts w:hint="eastAsia" w:ascii="宋体" w:hAnsi="宋体"/>
          <w:spacing w:val="4"/>
          <w:szCs w:val="21"/>
        </w:rPr>
        <w:t>日期：</w:t>
      </w:r>
    </w:p>
    <w:p>
      <w:pPr>
        <w:spacing w:line="360" w:lineRule="auto"/>
        <w:rPr>
          <w:rFonts w:ascii="宋体" w:hAnsi="宋体"/>
        </w:rPr>
      </w:pPr>
    </w:p>
    <w:p/>
    <w:p/>
    <w:sectPr>
      <w:headerReference r:id="rId4"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Droid Sans Fallback"/>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Droid Sans Fallback">
    <w:panose1 w:val="020B0502000000000001"/>
    <w:charset w:val="86"/>
    <w:family w:val="auto"/>
    <w:pitch w:val="default"/>
    <w:sig w:usb0="910002FF" w:usb1="2BDFFCFB" w:usb2="00000036" w:usb3="00000000" w:csb0="203F01FF"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857C"/>
    <w:multiLevelType w:val="singleLevel"/>
    <w:tmpl w:val="DFFF857C"/>
    <w:lvl w:ilvl="0" w:tentative="0">
      <w:start w:val="1"/>
      <w:numFmt w:val="chineseCounting"/>
      <w:suff w:val="nothing"/>
      <w:lvlText w:val="（%1）"/>
      <w:lvlJc w:val="left"/>
      <w:pPr>
        <w:ind w:left="0" w:firstLine="420"/>
      </w:pPr>
      <w:rPr>
        <w:rFonts w:hint="eastAsia"/>
        <w:b/>
        <w:bCs/>
      </w:rPr>
    </w:lvl>
  </w:abstractNum>
  <w:abstractNum w:abstractNumId="1">
    <w:nsid w:val="F6DEB490"/>
    <w:multiLevelType w:val="singleLevel"/>
    <w:tmpl w:val="F6DEB490"/>
    <w:lvl w:ilvl="0" w:tentative="0">
      <w:start w:val="1"/>
      <w:numFmt w:val="decimal"/>
      <w:lvlText w:val="(%1)"/>
      <w:lvlJc w:val="left"/>
      <w:pPr>
        <w:ind w:left="425" w:hanging="425"/>
      </w:pPr>
      <w:rPr>
        <w:rFonts w:hint="default"/>
      </w:rPr>
    </w:lvl>
  </w:abstractNum>
  <w:abstractNum w:abstractNumId="2">
    <w:nsid w:val="F7FC3DDC"/>
    <w:multiLevelType w:val="singleLevel"/>
    <w:tmpl w:val="F7FC3DDC"/>
    <w:lvl w:ilvl="0" w:tentative="0">
      <w:start w:val="1"/>
      <w:numFmt w:val="decimal"/>
      <w:lvlText w:val="%1."/>
      <w:lvlJc w:val="left"/>
      <w:pPr>
        <w:ind w:left="425" w:hanging="425"/>
      </w:pPr>
      <w:rPr>
        <w:rFonts w:hint="default"/>
      </w:rPr>
    </w:lvl>
  </w:abstractNum>
  <w:abstractNum w:abstractNumId="3">
    <w:nsid w:val="00000002"/>
    <w:multiLevelType w:val="multilevel"/>
    <w:tmpl w:val="0000000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2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9"/>
    <w:multiLevelType w:val="multilevel"/>
    <w:tmpl w:val="00000009"/>
    <w:lvl w:ilvl="0" w:tentative="0">
      <w:start w:val="1"/>
      <w:numFmt w:val="chineseCountingThousand"/>
      <w:suff w:val="nothing"/>
      <w:lvlText w:val="%1、"/>
      <w:lvlJc w:val="left"/>
      <w:pPr>
        <w:ind w:left="420" w:hanging="420"/>
      </w:pPr>
      <w:rPr>
        <w:rFonts w:hint="eastAsia"/>
        <w:b/>
        <w:lang w:eastAsia="zh-TW"/>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B"/>
    <w:multiLevelType w:val="multilevel"/>
    <w:tmpl w:val="0000000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
    <w:nsid w:val="0000000D"/>
    <w:multiLevelType w:val="multilevel"/>
    <w:tmpl w:val="0000000D"/>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7">
    <w:nsid w:val="00000014"/>
    <w:multiLevelType w:val="multilevel"/>
    <w:tmpl w:val="00000014"/>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00000018"/>
    <w:multiLevelType w:val="multilevel"/>
    <w:tmpl w:val="00000018"/>
    <w:lvl w:ilvl="0" w:tentative="0">
      <w:start w:val="1"/>
      <w:numFmt w:val="chineseCountingThousand"/>
      <w:suff w:val="nothing"/>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9"/>
    <w:multiLevelType w:val="multilevel"/>
    <w:tmpl w:val="00000019"/>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0000001C"/>
    <w:multiLevelType w:val="multilevel"/>
    <w:tmpl w:val="0000001C"/>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0037C8"/>
    <w:multiLevelType w:val="multilevel"/>
    <w:tmpl w:val="030037C8"/>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B91EF6"/>
    <w:multiLevelType w:val="multilevel"/>
    <w:tmpl w:val="0AB91E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F84EA1"/>
    <w:multiLevelType w:val="multilevel"/>
    <w:tmpl w:val="13F84EA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4F45BFB"/>
    <w:multiLevelType w:val="multilevel"/>
    <w:tmpl w:val="24F45BFB"/>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C5A44F8"/>
    <w:multiLevelType w:val="multilevel"/>
    <w:tmpl w:val="2C5A44F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336FEA"/>
    <w:multiLevelType w:val="multilevel"/>
    <w:tmpl w:val="2F336FEA"/>
    <w:lvl w:ilvl="0" w:tentative="0">
      <w:start w:val="1"/>
      <w:numFmt w:val="chineseCountingThousand"/>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902CD8"/>
    <w:multiLevelType w:val="multilevel"/>
    <w:tmpl w:val="38902C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657D83"/>
    <w:multiLevelType w:val="multilevel"/>
    <w:tmpl w:val="3D65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1702DA8"/>
    <w:multiLevelType w:val="multilevel"/>
    <w:tmpl w:val="41702D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7CE6013"/>
    <w:multiLevelType w:val="multilevel"/>
    <w:tmpl w:val="47CE6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A6673F2"/>
    <w:multiLevelType w:val="multilevel"/>
    <w:tmpl w:val="4A6673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D173D1A"/>
    <w:multiLevelType w:val="multilevel"/>
    <w:tmpl w:val="4D173D1A"/>
    <w:lvl w:ilvl="0" w:tentative="0">
      <w:start w:val="1"/>
      <w:numFmt w:val="chineseCountingThousand"/>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30D6FFD"/>
    <w:multiLevelType w:val="multilevel"/>
    <w:tmpl w:val="530D6FF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AF40D7E"/>
    <w:multiLevelType w:val="multilevel"/>
    <w:tmpl w:val="5AF40D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C94585F"/>
    <w:multiLevelType w:val="multilevel"/>
    <w:tmpl w:val="5C94585F"/>
    <w:lvl w:ilvl="0" w:tentative="0">
      <w:start w:val="1"/>
      <w:numFmt w:val="chineseCountingThousand"/>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1A55593"/>
    <w:multiLevelType w:val="multilevel"/>
    <w:tmpl w:val="61A55593"/>
    <w:lvl w:ilvl="0" w:tentative="0">
      <w:start w:val="1"/>
      <w:numFmt w:val="chineseCountingThousand"/>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23F44B9"/>
    <w:multiLevelType w:val="multilevel"/>
    <w:tmpl w:val="623F44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5AA686E"/>
    <w:multiLevelType w:val="multilevel"/>
    <w:tmpl w:val="65AA68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D0CE3"/>
    <w:multiLevelType w:val="multilevel"/>
    <w:tmpl w:val="6CED0CE3"/>
    <w:lvl w:ilvl="0" w:tentative="0">
      <w:start w:val="7"/>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F777069"/>
    <w:multiLevelType w:val="multilevel"/>
    <w:tmpl w:val="6F777069"/>
    <w:lvl w:ilvl="0" w:tentative="0">
      <w:start w:val="1"/>
      <w:numFmt w:val="chineseCountingThousand"/>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3B4776"/>
    <w:multiLevelType w:val="multilevel"/>
    <w:tmpl w:val="703B47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023768"/>
    <w:multiLevelType w:val="multilevel"/>
    <w:tmpl w:val="740237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50B0A38"/>
    <w:multiLevelType w:val="multilevel"/>
    <w:tmpl w:val="750B0A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0"/>
  </w:num>
  <w:num w:numId="4">
    <w:abstractNumId w:val="31"/>
  </w:num>
  <w:num w:numId="5">
    <w:abstractNumId w:val="24"/>
  </w:num>
  <w:num w:numId="6">
    <w:abstractNumId w:val="20"/>
  </w:num>
  <w:num w:numId="7">
    <w:abstractNumId w:val="28"/>
  </w:num>
  <w:num w:numId="8">
    <w:abstractNumId w:val="18"/>
  </w:num>
  <w:num w:numId="9">
    <w:abstractNumId w:val="2"/>
  </w:num>
  <w:num w:numId="10">
    <w:abstractNumId w:val="1"/>
  </w:num>
  <w:num w:numId="11">
    <w:abstractNumId w:val="27"/>
  </w:num>
  <w:num w:numId="12">
    <w:abstractNumId w:val="21"/>
  </w:num>
  <w:num w:numId="13">
    <w:abstractNumId w:val="19"/>
  </w:num>
  <w:num w:numId="14">
    <w:abstractNumId w:val="32"/>
  </w:num>
  <w:num w:numId="15">
    <w:abstractNumId w:val="4"/>
  </w:num>
  <w:num w:numId="16">
    <w:abstractNumId w:val="11"/>
  </w:num>
  <w:num w:numId="17">
    <w:abstractNumId w:val="26"/>
  </w:num>
  <w:num w:numId="18">
    <w:abstractNumId w:val="12"/>
  </w:num>
  <w:num w:numId="19">
    <w:abstractNumId w:val="17"/>
  </w:num>
  <w:num w:numId="20">
    <w:abstractNumId w:val="16"/>
  </w:num>
  <w:num w:numId="21">
    <w:abstractNumId w:val="25"/>
  </w:num>
  <w:num w:numId="22">
    <w:abstractNumId w:val="22"/>
  </w:num>
  <w:num w:numId="23">
    <w:abstractNumId w:val="30"/>
  </w:num>
  <w:num w:numId="24">
    <w:abstractNumId w:val="33"/>
  </w:num>
  <w:num w:numId="25">
    <w:abstractNumId w:val="29"/>
  </w:num>
  <w:num w:numId="26">
    <w:abstractNumId w:val="23"/>
  </w:num>
  <w:num w:numId="27">
    <w:abstractNumId w:val="15"/>
  </w:num>
  <w:num w:numId="28">
    <w:abstractNumId w:val="13"/>
  </w:num>
  <w:num w:numId="29">
    <w:abstractNumId w:val="14"/>
  </w:num>
  <w:num w:numId="30">
    <w:abstractNumId w:val="6"/>
  </w:num>
  <w:num w:numId="31">
    <w:abstractNumId w:val="5"/>
  </w:num>
  <w:num w:numId="32">
    <w:abstractNumId w:val="9"/>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2RjNGU5NzZjMmIzNjhjYTVhNjA3OWRjNmI4MjkifQ=="/>
  </w:docVars>
  <w:rsids>
    <w:rsidRoot w:val="00D935AC"/>
    <w:rsid w:val="000018EA"/>
    <w:rsid w:val="00012024"/>
    <w:rsid w:val="00012CB9"/>
    <w:rsid w:val="00013FFC"/>
    <w:rsid w:val="0001400D"/>
    <w:rsid w:val="0001474C"/>
    <w:rsid w:val="00030C39"/>
    <w:rsid w:val="00032CD1"/>
    <w:rsid w:val="0004512A"/>
    <w:rsid w:val="00061036"/>
    <w:rsid w:val="0006772E"/>
    <w:rsid w:val="000716D7"/>
    <w:rsid w:val="00073E72"/>
    <w:rsid w:val="000764FD"/>
    <w:rsid w:val="00094786"/>
    <w:rsid w:val="00095EC2"/>
    <w:rsid w:val="00097F50"/>
    <w:rsid w:val="000B0043"/>
    <w:rsid w:val="000C56E2"/>
    <w:rsid w:val="000D2DBD"/>
    <w:rsid w:val="000D3D8E"/>
    <w:rsid w:val="000D46E2"/>
    <w:rsid w:val="000E4AD6"/>
    <w:rsid w:val="000E672E"/>
    <w:rsid w:val="00102C2B"/>
    <w:rsid w:val="00112BD8"/>
    <w:rsid w:val="00122FC1"/>
    <w:rsid w:val="001231C0"/>
    <w:rsid w:val="00136F22"/>
    <w:rsid w:val="001515B2"/>
    <w:rsid w:val="00156513"/>
    <w:rsid w:val="00156D31"/>
    <w:rsid w:val="00162858"/>
    <w:rsid w:val="00173EBD"/>
    <w:rsid w:val="00176378"/>
    <w:rsid w:val="00193927"/>
    <w:rsid w:val="0019491C"/>
    <w:rsid w:val="001C0F1A"/>
    <w:rsid w:val="001C261A"/>
    <w:rsid w:val="001C7588"/>
    <w:rsid w:val="001D64DE"/>
    <w:rsid w:val="001E79C7"/>
    <w:rsid w:val="001F22E3"/>
    <w:rsid w:val="002175CE"/>
    <w:rsid w:val="00254D5C"/>
    <w:rsid w:val="00281636"/>
    <w:rsid w:val="0029238A"/>
    <w:rsid w:val="0029603A"/>
    <w:rsid w:val="002B6982"/>
    <w:rsid w:val="002C0B8D"/>
    <w:rsid w:val="002C537D"/>
    <w:rsid w:val="002D7DF2"/>
    <w:rsid w:val="002E11E6"/>
    <w:rsid w:val="002E46F0"/>
    <w:rsid w:val="002E6E61"/>
    <w:rsid w:val="002F0316"/>
    <w:rsid w:val="002F19D4"/>
    <w:rsid w:val="00302846"/>
    <w:rsid w:val="00306552"/>
    <w:rsid w:val="003110E0"/>
    <w:rsid w:val="00323A43"/>
    <w:rsid w:val="0032560D"/>
    <w:rsid w:val="003315C8"/>
    <w:rsid w:val="00331EA1"/>
    <w:rsid w:val="0034777C"/>
    <w:rsid w:val="00354B77"/>
    <w:rsid w:val="00364E5C"/>
    <w:rsid w:val="003654EA"/>
    <w:rsid w:val="003746C0"/>
    <w:rsid w:val="00397E9F"/>
    <w:rsid w:val="003A3F58"/>
    <w:rsid w:val="003A47B6"/>
    <w:rsid w:val="003A6063"/>
    <w:rsid w:val="003B0EF7"/>
    <w:rsid w:val="003D277E"/>
    <w:rsid w:val="003D61B5"/>
    <w:rsid w:val="003D7C8F"/>
    <w:rsid w:val="003E50BD"/>
    <w:rsid w:val="003E53D7"/>
    <w:rsid w:val="003F56E2"/>
    <w:rsid w:val="004060E2"/>
    <w:rsid w:val="004105F8"/>
    <w:rsid w:val="004175F6"/>
    <w:rsid w:val="00430B5C"/>
    <w:rsid w:val="00433ECD"/>
    <w:rsid w:val="004353BC"/>
    <w:rsid w:val="00441DDC"/>
    <w:rsid w:val="00442BA6"/>
    <w:rsid w:val="00453F16"/>
    <w:rsid w:val="00463C21"/>
    <w:rsid w:val="004804D6"/>
    <w:rsid w:val="004A0081"/>
    <w:rsid w:val="004A54BF"/>
    <w:rsid w:val="004B27B6"/>
    <w:rsid w:val="004B6170"/>
    <w:rsid w:val="004B641D"/>
    <w:rsid w:val="004C0915"/>
    <w:rsid w:val="004E0280"/>
    <w:rsid w:val="004E16DB"/>
    <w:rsid w:val="00505AFB"/>
    <w:rsid w:val="005202D9"/>
    <w:rsid w:val="00544FD5"/>
    <w:rsid w:val="005503F4"/>
    <w:rsid w:val="005530E6"/>
    <w:rsid w:val="00553DF7"/>
    <w:rsid w:val="00556B03"/>
    <w:rsid w:val="00557D6F"/>
    <w:rsid w:val="00560A9E"/>
    <w:rsid w:val="00563740"/>
    <w:rsid w:val="00563A38"/>
    <w:rsid w:val="00597503"/>
    <w:rsid w:val="005B4A57"/>
    <w:rsid w:val="005B7030"/>
    <w:rsid w:val="005B790C"/>
    <w:rsid w:val="005C1CBA"/>
    <w:rsid w:val="005C4124"/>
    <w:rsid w:val="005D2E60"/>
    <w:rsid w:val="005D6BCA"/>
    <w:rsid w:val="005E46C4"/>
    <w:rsid w:val="005F1537"/>
    <w:rsid w:val="005F2B91"/>
    <w:rsid w:val="005F4B32"/>
    <w:rsid w:val="005F7A45"/>
    <w:rsid w:val="00601BBF"/>
    <w:rsid w:val="00602EA7"/>
    <w:rsid w:val="006120C2"/>
    <w:rsid w:val="00613B79"/>
    <w:rsid w:val="00614F39"/>
    <w:rsid w:val="00615C57"/>
    <w:rsid w:val="00622122"/>
    <w:rsid w:val="00627205"/>
    <w:rsid w:val="00640E33"/>
    <w:rsid w:val="00660D4C"/>
    <w:rsid w:val="00660D6A"/>
    <w:rsid w:val="00666BD2"/>
    <w:rsid w:val="006749E2"/>
    <w:rsid w:val="006822D1"/>
    <w:rsid w:val="0068561F"/>
    <w:rsid w:val="00686724"/>
    <w:rsid w:val="006A0FCD"/>
    <w:rsid w:val="006C28CE"/>
    <w:rsid w:val="006C6857"/>
    <w:rsid w:val="006C6A7B"/>
    <w:rsid w:val="006E2BFE"/>
    <w:rsid w:val="006E3808"/>
    <w:rsid w:val="007013BB"/>
    <w:rsid w:val="00706935"/>
    <w:rsid w:val="00714C72"/>
    <w:rsid w:val="00734C7B"/>
    <w:rsid w:val="00763465"/>
    <w:rsid w:val="0076753F"/>
    <w:rsid w:val="0078277E"/>
    <w:rsid w:val="00786B9F"/>
    <w:rsid w:val="007979C3"/>
    <w:rsid w:val="007B726C"/>
    <w:rsid w:val="007B7E42"/>
    <w:rsid w:val="007C4691"/>
    <w:rsid w:val="007D5E59"/>
    <w:rsid w:val="007D65BB"/>
    <w:rsid w:val="007D7120"/>
    <w:rsid w:val="007D7CD5"/>
    <w:rsid w:val="007E67B1"/>
    <w:rsid w:val="007F32FE"/>
    <w:rsid w:val="007F4100"/>
    <w:rsid w:val="00820D80"/>
    <w:rsid w:val="00823A18"/>
    <w:rsid w:val="00833350"/>
    <w:rsid w:val="00845674"/>
    <w:rsid w:val="00847A72"/>
    <w:rsid w:val="00852F8D"/>
    <w:rsid w:val="00881939"/>
    <w:rsid w:val="008827AB"/>
    <w:rsid w:val="008859AD"/>
    <w:rsid w:val="00894BBB"/>
    <w:rsid w:val="008A1CF6"/>
    <w:rsid w:val="008A1D23"/>
    <w:rsid w:val="008A2221"/>
    <w:rsid w:val="008A30B1"/>
    <w:rsid w:val="008A4D7D"/>
    <w:rsid w:val="008A684B"/>
    <w:rsid w:val="008B096B"/>
    <w:rsid w:val="008B133D"/>
    <w:rsid w:val="008C201A"/>
    <w:rsid w:val="008C50DD"/>
    <w:rsid w:val="008E0CCD"/>
    <w:rsid w:val="008F67F8"/>
    <w:rsid w:val="0090765F"/>
    <w:rsid w:val="00911041"/>
    <w:rsid w:val="009113F6"/>
    <w:rsid w:val="009401D1"/>
    <w:rsid w:val="0096386E"/>
    <w:rsid w:val="009657B4"/>
    <w:rsid w:val="009679F6"/>
    <w:rsid w:val="00972A57"/>
    <w:rsid w:val="00986A6F"/>
    <w:rsid w:val="009915BA"/>
    <w:rsid w:val="009A1ECB"/>
    <w:rsid w:val="009A3F0E"/>
    <w:rsid w:val="009D07F2"/>
    <w:rsid w:val="009D7AEB"/>
    <w:rsid w:val="009E0734"/>
    <w:rsid w:val="00A00748"/>
    <w:rsid w:val="00A16BE2"/>
    <w:rsid w:val="00A259D9"/>
    <w:rsid w:val="00A32C95"/>
    <w:rsid w:val="00A36A75"/>
    <w:rsid w:val="00A624DA"/>
    <w:rsid w:val="00A75295"/>
    <w:rsid w:val="00A76BD5"/>
    <w:rsid w:val="00A8064D"/>
    <w:rsid w:val="00A91DA5"/>
    <w:rsid w:val="00AC3682"/>
    <w:rsid w:val="00AD2E29"/>
    <w:rsid w:val="00AD3D38"/>
    <w:rsid w:val="00AD7396"/>
    <w:rsid w:val="00AE2480"/>
    <w:rsid w:val="00AF0F50"/>
    <w:rsid w:val="00AF7E87"/>
    <w:rsid w:val="00B100A3"/>
    <w:rsid w:val="00B14E36"/>
    <w:rsid w:val="00B24A8B"/>
    <w:rsid w:val="00B25B0B"/>
    <w:rsid w:val="00B30D72"/>
    <w:rsid w:val="00B31007"/>
    <w:rsid w:val="00B3795F"/>
    <w:rsid w:val="00B41444"/>
    <w:rsid w:val="00B464AE"/>
    <w:rsid w:val="00B525F0"/>
    <w:rsid w:val="00B635EA"/>
    <w:rsid w:val="00B763FA"/>
    <w:rsid w:val="00B902E5"/>
    <w:rsid w:val="00B9224B"/>
    <w:rsid w:val="00B94335"/>
    <w:rsid w:val="00BA2439"/>
    <w:rsid w:val="00BA78CC"/>
    <w:rsid w:val="00BC270F"/>
    <w:rsid w:val="00BC2EAD"/>
    <w:rsid w:val="00BC625A"/>
    <w:rsid w:val="00BD7424"/>
    <w:rsid w:val="00BE1F0C"/>
    <w:rsid w:val="00BF0FEF"/>
    <w:rsid w:val="00C12D39"/>
    <w:rsid w:val="00C13242"/>
    <w:rsid w:val="00C32DFA"/>
    <w:rsid w:val="00C36526"/>
    <w:rsid w:val="00C802E2"/>
    <w:rsid w:val="00C82E9F"/>
    <w:rsid w:val="00C83B6B"/>
    <w:rsid w:val="00C93C1B"/>
    <w:rsid w:val="00C94797"/>
    <w:rsid w:val="00CA0043"/>
    <w:rsid w:val="00CA27F8"/>
    <w:rsid w:val="00CA3A9B"/>
    <w:rsid w:val="00CB3B3B"/>
    <w:rsid w:val="00CB4971"/>
    <w:rsid w:val="00CD1E72"/>
    <w:rsid w:val="00CD2EF7"/>
    <w:rsid w:val="00CD69C5"/>
    <w:rsid w:val="00CD6AC9"/>
    <w:rsid w:val="00CE7FA0"/>
    <w:rsid w:val="00CF0269"/>
    <w:rsid w:val="00CF5947"/>
    <w:rsid w:val="00D0135B"/>
    <w:rsid w:val="00D04F92"/>
    <w:rsid w:val="00D07426"/>
    <w:rsid w:val="00D075FC"/>
    <w:rsid w:val="00D2193C"/>
    <w:rsid w:val="00D26FBC"/>
    <w:rsid w:val="00D278EE"/>
    <w:rsid w:val="00D339A9"/>
    <w:rsid w:val="00D3443A"/>
    <w:rsid w:val="00D34AA0"/>
    <w:rsid w:val="00D4288B"/>
    <w:rsid w:val="00D44A61"/>
    <w:rsid w:val="00D459B3"/>
    <w:rsid w:val="00D506E1"/>
    <w:rsid w:val="00D50BC0"/>
    <w:rsid w:val="00D53314"/>
    <w:rsid w:val="00D55F1C"/>
    <w:rsid w:val="00D65D31"/>
    <w:rsid w:val="00D70DF0"/>
    <w:rsid w:val="00D74B2B"/>
    <w:rsid w:val="00D83D35"/>
    <w:rsid w:val="00D935AC"/>
    <w:rsid w:val="00DB16EA"/>
    <w:rsid w:val="00DB5712"/>
    <w:rsid w:val="00DC0A9F"/>
    <w:rsid w:val="00DC1432"/>
    <w:rsid w:val="00DC6883"/>
    <w:rsid w:val="00DD0830"/>
    <w:rsid w:val="00DE688E"/>
    <w:rsid w:val="00DF2EF8"/>
    <w:rsid w:val="00E069F8"/>
    <w:rsid w:val="00E17BFF"/>
    <w:rsid w:val="00E31726"/>
    <w:rsid w:val="00E437F0"/>
    <w:rsid w:val="00E63D9B"/>
    <w:rsid w:val="00E66C44"/>
    <w:rsid w:val="00E8043D"/>
    <w:rsid w:val="00E83587"/>
    <w:rsid w:val="00E84100"/>
    <w:rsid w:val="00E9087E"/>
    <w:rsid w:val="00EA0274"/>
    <w:rsid w:val="00EA5D55"/>
    <w:rsid w:val="00EB4630"/>
    <w:rsid w:val="00EC1DD3"/>
    <w:rsid w:val="00EC2699"/>
    <w:rsid w:val="00EC4C29"/>
    <w:rsid w:val="00EC53A2"/>
    <w:rsid w:val="00ED3D5C"/>
    <w:rsid w:val="00EE1761"/>
    <w:rsid w:val="00EF795D"/>
    <w:rsid w:val="00F047AB"/>
    <w:rsid w:val="00F135DF"/>
    <w:rsid w:val="00F22F5D"/>
    <w:rsid w:val="00F3580C"/>
    <w:rsid w:val="00F44184"/>
    <w:rsid w:val="00F56653"/>
    <w:rsid w:val="00F62306"/>
    <w:rsid w:val="00F6351F"/>
    <w:rsid w:val="00F6445E"/>
    <w:rsid w:val="00F66CB9"/>
    <w:rsid w:val="00F703E8"/>
    <w:rsid w:val="00F70870"/>
    <w:rsid w:val="00F76758"/>
    <w:rsid w:val="00F7686D"/>
    <w:rsid w:val="00F83A98"/>
    <w:rsid w:val="00FA2880"/>
    <w:rsid w:val="00FB1526"/>
    <w:rsid w:val="00FB7A04"/>
    <w:rsid w:val="00FE1853"/>
    <w:rsid w:val="00FF77FC"/>
    <w:rsid w:val="00FF7D31"/>
    <w:rsid w:val="010B1518"/>
    <w:rsid w:val="010B373E"/>
    <w:rsid w:val="012D7D45"/>
    <w:rsid w:val="01967DCC"/>
    <w:rsid w:val="020B7E8F"/>
    <w:rsid w:val="024B0AD3"/>
    <w:rsid w:val="02511F45"/>
    <w:rsid w:val="028916DF"/>
    <w:rsid w:val="03147E4E"/>
    <w:rsid w:val="035870A3"/>
    <w:rsid w:val="036C7133"/>
    <w:rsid w:val="03E0119A"/>
    <w:rsid w:val="05357506"/>
    <w:rsid w:val="057567C5"/>
    <w:rsid w:val="05A936E4"/>
    <w:rsid w:val="060B29E2"/>
    <w:rsid w:val="06AB07BF"/>
    <w:rsid w:val="06D835C1"/>
    <w:rsid w:val="06F02F69"/>
    <w:rsid w:val="07220832"/>
    <w:rsid w:val="07643097"/>
    <w:rsid w:val="07F4386F"/>
    <w:rsid w:val="0831161B"/>
    <w:rsid w:val="08401359"/>
    <w:rsid w:val="085B0E87"/>
    <w:rsid w:val="08854784"/>
    <w:rsid w:val="091A569E"/>
    <w:rsid w:val="09877070"/>
    <w:rsid w:val="098C4220"/>
    <w:rsid w:val="09973AFD"/>
    <w:rsid w:val="09D81291"/>
    <w:rsid w:val="09ED0080"/>
    <w:rsid w:val="0A23066B"/>
    <w:rsid w:val="0A9A10E9"/>
    <w:rsid w:val="0AED7401"/>
    <w:rsid w:val="0BA31A63"/>
    <w:rsid w:val="0BCF0AAA"/>
    <w:rsid w:val="0C8028BA"/>
    <w:rsid w:val="0CC76117"/>
    <w:rsid w:val="0D346A4C"/>
    <w:rsid w:val="0D950713"/>
    <w:rsid w:val="0E2A0405"/>
    <w:rsid w:val="0EF5495D"/>
    <w:rsid w:val="0F9570DC"/>
    <w:rsid w:val="0FE10DAC"/>
    <w:rsid w:val="106A7D58"/>
    <w:rsid w:val="11143E75"/>
    <w:rsid w:val="11334C44"/>
    <w:rsid w:val="116847DF"/>
    <w:rsid w:val="1185106A"/>
    <w:rsid w:val="120A4692"/>
    <w:rsid w:val="125D0492"/>
    <w:rsid w:val="131F4EE9"/>
    <w:rsid w:val="13716203"/>
    <w:rsid w:val="13CE7899"/>
    <w:rsid w:val="13F07810"/>
    <w:rsid w:val="13F53078"/>
    <w:rsid w:val="1434186B"/>
    <w:rsid w:val="14B60DBE"/>
    <w:rsid w:val="155E2E9F"/>
    <w:rsid w:val="156413D8"/>
    <w:rsid w:val="15686A33"/>
    <w:rsid w:val="15793DF7"/>
    <w:rsid w:val="15C01464"/>
    <w:rsid w:val="15C27E50"/>
    <w:rsid w:val="1669754F"/>
    <w:rsid w:val="169F376F"/>
    <w:rsid w:val="16BA2357"/>
    <w:rsid w:val="17115F55"/>
    <w:rsid w:val="17EE48A0"/>
    <w:rsid w:val="17F500CA"/>
    <w:rsid w:val="18083DFB"/>
    <w:rsid w:val="18093CFC"/>
    <w:rsid w:val="180C6BE2"/>
    <w:rsid w:val="186278D4"/>
    <w:rsid w:val="18D01D9A"/>
    <w:rsid w:val="19360FEA"/>
    <w:rsid w:val="19680E93"/>
    <w:rsid w:val="198A4263"/>
    <w:rsid w:val="19CA2868"/>
    <w:rsid w:val="1A051ECF"/>
    <w:rsid w:val="1A681EDF"/>
    <w:rsid w:val="1B0864C1"/>
    <w:rsid w:val="1B9273FE"/>
    <w:rsid w:val="1BC1151A"/>
    <w:rsid w:val="1D6628F1"/>
    <w:rsid w:val="1D763D09"/>
    <w:rsid w:val="1E5170FD"/>
    <w:rsid w:val="1ECF3A72"/>
    <w:rsid w:val="1F2615DF"/>
    <w:rsid w:val="1F3F30DB"/>
    <w:rsid w:val="200C59D1"/>
    <w:rsid w:val="201F1D77"/>
    <w:rsid w:val="20CC4DFD"/>
    <w:rsid w:val="20EA09AB"/>
    <w:rsid w:val="2149055F"/>
    <w:rsid w:val="21AA36F4"/>
    <w:rsid w:val="23127CA9"/>
    <w:rsid w:val="23386ADD"/>
    <w:rsid w:val="236B7E88"/>
    <w:rsid w:val="23A34399"/>
    <w:rsid w:val="23F24EDE"/>
    <w:rsid w:val="24FF7E68"/>
    <w:rsid w:val="25560747"/>
    <w:rsid w:val="256F54C5"/>
    <w:rsid w:val="258109D0"/>
    <w:rsid w:val="2608197C"/>
    <w:rsid w:val="28AB1D3C"/>
    <w:rsid w:val="28C81EEA"/>
    <w:rsid w:val="29203523"/>
    <w:rsid w:val="295C64A8"/>
    <w:rsid w:val="297757FD"/>
    <w:rsid w:val="2A1A0BB1"/>
    <w:rsid w:val="2A5B478B"/>
    <w:rsid w:val="2A832596"/>
    <w:rsid w:val="2B7515AC"/>
    <w:rsid w:val="2C070759"/>
    <w:rsid w:val="2C4D184B"/>
    <w:rsid w:val="2C5B1A68"/>
    <w:rsid w:val="2D6866CE"/>
    <w:rsid w:val="2E265A74"/>
    <w:rsid w:val="2F8F433D"/>
    <w:rsid w:val="30B8300C"/>
    <w:rsid w:val="30F93067"/>
    <w:rsid w:val="31083F93"/>
    <w:rsid w:val="31B90EE7"/>
    <w:rsid w:val="31D16A7B"/>
    <w:rsid w:val="31E16592"/>
    <w:rsid w:val="31FE795F"/>
    <w:rsid w:val="34527864"/>
    <w:rsid w:val="345B0ADB"/>
    <w:rsid w:val="34EE7256"/>
    <w:rsid w:val="350219B9"/>
    <w:rsid w:val="355C6F55"/>
    <w:rsid w:val="35F1770A"/>
    <w:rsid w:val="35FF98C5"/>
    <w:rsid w:val="362703A7"/>
    <w:rsid w:val="373151AC"/>
    <w:rsid w:val="375F3574"/>
    <w:rsid w:val="37DA5721"/>
    <w:rsid w:val="381E22EE"/>
    <w:rsid w:val="38F512A1"/>
    <w:rsid w:val="391F3C45"/>
    <w:rsid w:val="392B18AE"/>
    <w:rsid w:val="392C7FD9"/>
    <w:rsid w:val="393234F6"/>
    <w:rsid w:val="39EC7B15"/>
    <w:rsid w:val="3A4437D1"/>
    <w:rsid w:val="3AAD5BAB"/>
    <w:rsid w:val="3ACD3B57"/>
    <w:rsid w:val="3B0A0908"/>
    <w:rsid w:val="3B1A4D04"/>
    <w:rsid w:val="3B7A573B"/>
    <w:rsid w:val="3B950463"/>
    <w:rsid w:val="3BA92E2B"/>
    <w:rsid w:val="3BC82C9D"/>
    <w:rsid w:val="3C2B3679"/>
    <w:rsid w:val="3C427B6C"/>
    <w:rsid w:val="3C912E94"/>
    <w:rsid w:val="3D0567B4"/>
    <w:rsid w:val="3D0B2C73"/>
    <w:rsid w:val="3D233F03"/>
    <w:rsid w:val="3D5D185F"/>
    <w:rsid w:val="3DEC25EE"/>
    <w:rsid w:val="3E83116C"/>
    <w:rsid w:val="3EF313C9"/>
    <w:rsid w:val="3EFB7642"/>
    <w:rsid w:val="3F096647"/>
    <w:rsid w:val="3F6E20DA"/>
    <w:rsid w:val="3F765C6E"/>
    <w:rsid w:val="3F790144"/>
    <w:rsid w:val="3FF55CC5"/>
    <w:rsid w:val="4001677D"/>
    <w:rsid w:val="40D02939"/>
    <w:rsid w:val="41626003"/>
    <w:rsid w:val="41B034B4"/>
    <w:rsid w:val="41B7073E"/>
    <w:rsid w:val="4229468F"/>
    <w:rsid w:val="423D15C3"/>
    <w:rsid w:val="43212C92"/>
    <w:rsid w:val="43285C1A"/>
    <w:rsid w:val="43E1072A"/>
    <w:rsid w:val="442F7CD7"/>
    <w:rsid w:val="44BE09B4"/>
    <w:rsid w:val="45010FCD"/>
    <w:rsid w:val="45481800"/>
    <w:rsid w:val="4650495E"/>
    <w:rsid w:val="46DA2205"/>
    <w:rsid w:val="471F0477"/>
    <w:rsid w:val="47392CA0"/>
    <w:rsid w:val="47630FBA"/>
    <w:rsid w:val="48825F81"/>
    <w:rsid w:val="48FB4B12"/>
    <w:rsid w:val="4916491B"/>
    <w:rsid w:val="492853A1"/>
    <w:rsid w:val="498D5024"/>
    <w:rsid w:val="49C357A0"/>
    <w:rsid w:val="49FB00E5"/>
    <w:rsid w:val="4A4060F4"/>
    <w:rsid w:val="4A5D0063"/>
    <w:rsid w:val="4AAB008E"/>
    <w:rsid w:val="4B6D2A6E"/>
    <w:rsid w:val="4C2D26A8"/>
    <w:rsid w:val="4CDD73B5"/>
    <w:rsid w:val="4D6F7851"/>
    <w:rsid w:val="4DDB1E2A"/>
    <w:rsid w:val="4E0C37DB"/>
    <w:rsid w:val="4E4B537E"/>
    <w:rsid w:val="4EA56695"/>
    <w:rsid w:val="4EBA13F1"/>
    <w:rsid w:val="4F924ED1"/>
    <w:rsid w:val="4FE97524"/>
    <w:rsid w:val="50047BC4"/>
    <w:rsid w:val="518E35FA"/>
    <w:rsid w:val="519079F1"/>
    <w:rsid w:val="51CC15DC"/>
    <w:rsid w:val="51ED0160"/>
    <w:rsid w:val="51F55A16"/>
    <w:rsid w:val="52276B3D"/>
    <w:rsid w:val="52505342"/>
    <w:rsid w:val="52D806A4"/>
    <w:rsid w:val="52F361D0"/>
    <w:rsid w:val="5311062D"/>
    <w:rsid w:val="531405EC"/>
    <w:rsid w:val="536B62F2"/>
    <w:rsid w:val="538708F0"/>
    <w:rsid w:val="54A156E6"/>
    <w:rsid w:val="54A61249"/>
    <w:rsid w:val="54B35893"/>
    <w:rsid w:val="54B534A5"/>
    <w:rsid w:val="54E30B81"/>
    <w:rsid w:val="54FC70BB"/>
    <w:rsid w:val="55135881"/>
    <w:rsid w:val="55287988"/>
    <w:rsid w:val="55376EB8"/>
    <w:rsid w:val="5569512F"/>
    <w:rsid w:val="55F83D27"/>
    <w:rsid w:val="56AB69D0"/>
    <w:rsid w:val="571A4344"/>
    <w:rsid w:val="57684C53"/>
    <w:rsid w:val="57F32066"/>
    <w:rsid w:val="58DB1C66"/>
    <w:rsid w:val="5A1C22B9"/>
    <w:rsid w:val="5A2559C5"/>
    <w:rsid w:val="5A6574B1"/>
    <w:rsid w:val="5A8F1C1C"/>
    <w:rsid w:val="5C423F4D"/>
    <w:rsid w:val="5D232A3D"/>
    <w:rsid w:val="5D464A4F"/>
    <w:rsid w:val="5DAA3B58"/>
    <w:rsid w:val="5DB838DE"/>
    <w:rsid w:val="5E965A74"/>
    <w:rsid w:val="5EC0053D"/>
    <w:rsid w:val="5EDC56FE"/>
    <w:rsid w:val="5EE673AD"/>
    <w:rsid w:val="5EF02083"/>
    <w:rsid w:val="5F535121"/>
    <w:rsid w:val="60145C01"/>
    <w:rsid w:val="6048238E"/>
    <w:rsid w:val="61006B28"/>
    <w:rsid w:val="61665E0A"/>
    <w:rsid w:val="617A6A6D"/>
    <w:rsid w:val="61B26D45"/>
    <w:rsid w:val="61DC1C20"/>
    <w:rsid w:val="628C4DA7"/>
    <w:rsid w:val="62E84689"/>
    <w:rsid w:val="6324413D"/>
    <w:rsid w:val="635A3126"/>
    <w:rsid w:val="63B319C6"/>
    <w:rsid w:val="63D70E93"/>
    <w:rsid w:val="63FA0B7E"/>
    <w:rsid w:val="64B61C33"/>
    <w:rsid w:val="64D8142C"/>
    <w:rsid w:val="651F307E"/>
    <w:rsid w:val="659571A1"/>
    <w:rsid w:val="659E6CE6"/>
    <w:rsid w:val="662B15AE"/>
    <w:rsid w:val="664D577B"/>
    <w:rsid w:val="666270DD"/>
    <w:rsid w:val="668E08CF"/>
    <w:rsid w:val="66FF2446"/>
    <w:rsid w:val="674E0999"/>
    <w:rsid w:val="679E5CDC"/>
    <w:rsid w:val="67C279C8"/>
    <w:rsid w:val="68617509"/>
    <w:rsid w:val="688334C1"/>
    <w:rsid w:val="688F22C8"/>
    <w:rsid w:val="68EC20CF"/>
    <w:rsid w:val="691B2F82"/>
    <w:rsid w:val="69AD7CA1"/>
    <w:rsid w:val="69E878BA"/>
    <w:rsid w:val="6A1F142A"/>
    <w:rsid w:val="6AA06A0F"/>
    <w:rsid w:val="6AB250AD"/>
    <w:rsid w:val="6B505C22"/>
    <w:rsid w:val="6B641CE0"/>
    <w:rsid w:val="6B773FC3"/>
    <w:rsid w:val="6BA55500"/>
    <w:rsid w:val="6BE22D2C"/>
    <w:rsid w:val="6C150943"/>
    <w:rsid w:val="6C3B4F79"/>
    <w:rsid w:val="6CF56FD0"/>
    <w:rsid w:val="6CFE4DF5"/>
    <w:rsid w:val="6D357A9F"/>
    <w:rsid w:val="6DBF150B"/>
    <w:rsid w:val="6E423939"/>
    <w:rsid w:val="6E6741C1"/>
    <w:rsid w:val="6E6C6C08"/>
    <w:rsid w:val="6E8F6D71"/>
    <w:rsid w:val="6F1B1648"/>
    <w:rsid w:val="6F6F075E"/>
    <w:rsid w:val="6F9E529D"/>
    <w:rsid w:val="70A046EF"/>
    <w:rsid w:val="71184196"/>
    <w:rsid w:val="71376038"/>
    <w:rsid w:val="718263E2"/>
    <w:rsid w:val="71943759"/>
    <w:rsid w:val="71DD0E59"/>
    <w:rsid w:val="71DD152F"/>
    <w:rsid w:val="71DF164C"/>
    <w:rsid w:val="71E07C87"/>
    <w:rsid w:val="72000A01"/>
    <w:rsid w:val="72232150"/>
    <w:rsid w:val="72430A0C"/>
    <w:rsid w:val="72701D1A"/>
    <w:rsid w:val="72DE2EB1"/>
    <w:rsid w:val="72F6668F"/>
    <w:rsid w:val="730571C3"/>
    <w:rsid w:val="733E1CF2"/>
    <w:rsid w:val="73F751C6"/>
    <w:rsid w:val="74056CCD"/>
    <w:rsid w:val="748504F0"/>
    <w:rsid w:val="759929D8"/>
    <w:rsid w:val="76232660"/>
    <w:rsid w:val="76DF78F2"/>
    <w:rsid w:val="778816C3"/>
    <w:rsid w:val="77D575CC"/>
    <w:rsid w:val="77F9007E"/>
    <w:rsid w:val="7844545D"/>
    <w:rsid w:val="78742457"/>
    <w:rsid w:val="78C338C8"/>
    <w:rsid w:val="79820E3B"/>
    <w:rsid w:val="79BE122C"/>
    <w:rsid w:val="7A131C17"/>
    <w:rsid w:val="7A1A2AFE"/>
    <w:rsid w:val="7A6C1A9F"/>
    <w:rsid w:val="7AC81DE4"/>
    <w:rsid w:val="7B3B7683"/>
    <w:rsid w:val="7B92277C"/>
    <w:rsid w:val="7BF74C54"/>
    <w:rsid w:val="7C1424C5"/>
    <w:rsid w:val="7CE64029"/>
    <w:rsid w:val="7CF665A4"/>
    <w:rsid w:val="7EDB7D0A"/>
    <w:rsid w:val="7F820039"/>
    <w:rsid w:val="7FDE69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25"/>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widowControl/>
      <w:ind w:firstLine="420" w:firstLineChars="200"/>
      <w:jc w:val="left"/>
    </w:pPr>
    <w:rPr>
      <w:rFonts w:ascii="宋体" w:hAnsi="宋体"/>
      <w:kern w:val="0"/>
      <w:szCs w:val="24"/>
    </w:rPr>
  </w:style>
  <w:style w:type="paragraph" w:styleId="4">
    <w:name w:val="annotation text"/>
    <w:basedOn w:val="1"/>
    <w:link w:val="21"/>
    <w:qFormat/>
    <w:uiPriority w:val="0"/>
    <w:pPr>
      <w:jc w:val="left"/>
    </w:pPr>
  </w:style>
  <w:style w:type="paragraph" w:styleId="5">
    <w:name w:val="Body Text"/>
    <w:basedOn w:val="1"/>
    <w:link w:val="33"/>
    <w:qFormat/>
    <w:uiPriority w:val="0"/>
    <w:pPr>
      <w:adjustRightInd w:val="0"/>
      <w:spacing w:after="120" w:line="360" w:lineRule="atLeast"/>
      <w:textAlignment w:val="baseline"/>
    </w:pPr>
    <w:rPr>
      <w:rFonts w:ascii="Times New Roman" w:hAnsi="Times New Roman" w:cs="Times New Roman"/>
      <w:kern w:val="0"/>
      <w:sz w:val="20"/>
      <w:szCs w:val="24"/>
    </w:rPr>
  </w:style>
  <w:style w:type="paragraph" w:styleId="6">
    <w:name w:val="Plain Text"/>
    <w:basedOn w:val="1"/>
    <w:link w:val="26"/>
    <w:qFormat/>
    <w:uiPriority w:val="0"/>
    <w:rPr>
      <w:rFonts w:ascii="宋体" w:hAnsi="Courier New" w:cs="Times New Roman"/>
      <w:kern w:val="0"/>
      <w:sz w:val="20"/>
      <w:szCs w:val="21"/>
    </w:rPr>
  </w:style>
  <w:style w:type="paragraph" w:styleId="7">
    <w:name w:val="Balloon Text"/>
    <w:basedOn w:val="1"/>
    <w:link w:val="22"/>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1">
    <w:name w:val="Title"/>
    <w:basedOn w:val="1"/>
    <w:next w:val="1"/>
    <w:link w:val="24"/>
    <w:qFormat/>
    <w:uiPriority w:val="10"/>
    <w:pPr>
      <w:spacing w:before="240" w:after="60"/>
      <w:jc w:val="center"/>
      <w:outlineLvl w:val="0"/>
    </w:pPr>
    <w:rPr>
      <w:rFonts w:ascii="Cambria" w:hAnsi="Cambria"/>
      <w:b/>
      <w:bCs/>
      <w:sz w:val="32"/>
      <w:szCs w:val="32"/>
    </w:rPr>
  </w:style>
  <w:style w:type="paragraph" w:styleId="12">
    <w:name w:val="annotation subject"/>
    <w:basedOn w:val="4"/>
    <w:next w:val="4"/>
    <w:link w:val="23"/>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basedOn w:val="15"/>
    <w:qFormat/>
    <w:uiPriority w:val="0"/>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paragraph" w:styleId="20">
    <w:name w:val="List Paragraph"/>
    <w:basedOn w:val="1"/>
    <w:link w:val="28"/>
    <w:qFormat/>
    <w:uiPriority w:val="34"/>
    <w:pPr>
      <w:ind w:firstLine="420" w:firstLineChars="200"/>
    </w:pPr>
  </w:style>
  <w:style w:type="character" w:customStyle="1" w:styleId="21">
    <w:name w:val="批注文字 Char"/>
    <w:basedOn w:val="15"/>
    <w:link w:val="4"/>
    <w:qFormat/>
    <w:uiPriority w:val="0"/>
  </w:style>
  <w:style w:type="character" w:customStyle="1" w:styleId="22">
    <w:name w:val="批注框文本 Char"/>
    <w:basedOn w:val="15"/>
    <w:link w:val="7"/>
    <w:qFormat/>
    <w:uiPriority w:val="99"/>
    <w:rPr>
      <w:sz w:val="18"/>
      <w:szCs w:val="18"/>
    </w:rPr>
  </w:style>
  <w:style w:type="character" w:customStyle="1" w:styleId="23">
    <w:name w:val="批注主题 Char"/>
    <w:basedOn w:val="21"/>
    <w:link w:val="12"/>
    <w:qFormat/>
    <w:uiPriority w:val="99"/>
    <w:rPr>
      <w:b/>
      <w:bCs/>
    </w:rPr>
  </w:style>
  <w:style w:type="character" w:customStyle="1" w:styleId="24">
    <w:name w:val="标题 Char"/>
    <w:basedOn w:val="15"/>
    <w:link w:val="11"/>
    <w:qFormat/>
    <w:uiPriority w:val="10"/>
    <w:rPr>
      <w:rFonts w:ascii="Cambria" w:hAnsi="Cambria" w:eastAsia="宋体" w:cs="宋体"/>
      <w:b/>
      <w:bCs/>
      <w:sz w:val="32"/>
      <w:szCs w:val="32"/>
    </w:rPr>
  </w:style>
  <w:style w:type="character" w:customStyle="1" w:styleId="25">
    <w:name w:val="标题 2 Char"/>
    <w:basedOn w:val="15"/>
    <w:link w:val="2"/>
    <w:qFormat/>
    <w:uiPriority w:val="9"/>
    <w:rPr>
      <w:rFonts w:ascii="Arial" w:hAnsi="Arial" w:eastAsia="黑体" w:cs="Times New Roman"/>
      <w:b/>
      <w:bCs/>
      <w:sz w:val="32"/>
      <w:szCs w:val="32"/>
    </w:rPr>
  </w:style>
  <w:style w:type="character" w:customStyle="1" w:styleId="26">
    <w:name w:val="纯文本 Char"/>
    <w:basedOn w:val="15"/>
    <w:link w:val="6"/>
    <w:qFormat/>
    <w:uiPriority w:val="0"/>
    <w:rPr>
      <w:rFonts w:ascii="宋体" w:hAnsi="Courier New" w:eastAsia="宋体" w:cs="Times New Roman"/>
      <w:kern w:val="0"/>
      <w:sz w:val="20"/>
      <w:szCs w:val="21"/>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28">
    <w:name w:val="列出段落 Char"/>
    <w:link w:val="20"/>
    <w:qFormat/>
    <w:uiPriority w:val="34"/>
  </w:style>
  <w:style w:type="paragraph" w:customStyle="1" w:styleId="29">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30">
    <w:name w:val="列出段落1"/>
    <w:basedOn w:val="1"/>
    <w:link w:val="31"/>
    <w:qFormat/>
    <w:uiPriority w:val="34"/>
    <w:pPr>
      <w:ind w:firstLine="420" w:firstLineChars="200"/>
    </w:pPr>
    <w:rPr>
      <w:rFonts w:ascii="Times New Roman" w:hAnsi="Times New Roman" w:cs="Times New Roman"/>
      <w:szCs w:val="21"/>
    </w:rPr>
  </w:style>
  <w:style w:type="character" w:customStyle="1" w:styleId="31">
    <w:name w:val="List Paragraph Char"/>
    <w:link w:val="30"/>
    <w:qFormat/>
    <w:uiPriority w:val="34"/>
    <w:rPr>
      <w:rFonts w:ascii="Times New Roman" w:hAnsi="Times New Roman" w:eastAsia="宋体" w:cs="Times New Roman"/>
      <w:szCs w:val="21"/>
    </w:rPr>
  </w:style>
  <w:style w:type="paragraph" w:customStyle="1" w:styleId="32">
    <w:name w:val="_Style 121"/>
    <w:basedOn w:val="1"/>
    <w:next w:val="20"/>
    <w:qFormat/>
    <w:uiPriority w:val="34"/>
    <w:pPr>
      <w:ind w:firstLine="420" w:firstLineChars="200"/>
    </w:pPr>
    <w:rPr>
      <w:rFonts w:cs="Times New Roman"/>
    </w:rPr>
  </w:style>
  <w:style w:type="character" w:customStyle="1" w:styleId="33">
    <w:name w:val="正文文本 Char"/>
    <w:basedOn w:val="15"/>
    <w:link w:val="5"/>
    <w:qFormat/>
    <w:uiPriority w:val="0"/>
    <w:rPr>
      <w:rFonts w:ascii="Times New Roman" w:hAnsi="Times New Roman" w:eastAsia="宋体" w:cs="Times New Roman"/>
      <w:kern w:val="0"/>
      <w:sz w:val="20"/>
      <w:szCs w:val="24"/>
    </w:rPr>
  </w:style>
  <w:style w:type="paragraph" w:customStyle="1" w:styleId="34">
    <w:name w:val="列出段落2"/>
    <w:basedOn w:val="1"/>
    <w:next w:val="20"/>
    <w:qFormat/>
    <w:uiPriority w:val="34"/>
    <w:pPr>
      <w:ind w:firstLine="420" w:firstLineChars="200"/>
    </w:pPr>
    <w:rPr>
      <w:rFonts w:eastAsia="黑体" w:cs="Times New Roman"/>
      <w:bCs/>
      <w:sz w:val="30"/>
      <w:szCs w:val="30"/>
    </w:rPr>
  </w:style>
  <w:style w:type="character" w:customStyle="1" w:styleId="35">
    <w:name w:val="font21"/>
    <w:basedOn w:val="15"/>
    <w:qFormat/>
    <w:uiPriority w:val="0"/>
    <w:rPr>
      <w:rFonts w:hint="eastAsia" w:ascii="宋体" w:hAnsi="宋体" w:eastAsia="宋体" w:cs="宋体"/>
      <w:color w:val="000000"/>
      <w:sz w:val="20"/>
      <w:szCs w:val="20"/>
      <w:u w:val="none"/>
    </w:rPr>
  </w:style>
  <w:style w:type="character" w:customStyle="1" w:styleId="36">
    <w:name w:val="font11"/>
    <w:basedOn w:val="15"/>
    <w:qFormat/>
    <w:uiPriority w:val="0"/>
    <w:rPr>
      <w:rFonts w:hint="default" w:ascii="Arial" w:hAnsi="Arial" w:cs="Arial"/>
      <w:color w:val="000000"/>
      <w:sz w:val="20"/>
      <w:szCs w:val="20"/>
      <w:u w:val="none"/>
    </w:rPr>
  </w:style>
  <w:style w:type="character" w:customStyle="1" w:styleId="37">
    <w:name w:val="font31"/>
    <w:basedOn w:val="15"/>
    <w:qFormat/>
    <w:uiPriority w:val="0"/>
    <w:rPr>
      <w:rFonts w:hint="eastAsia" w:ascii="宋体" w:hAnsi="宋体" w:eastAsia="宋体" w:cs="宋体"/>
      <w:color w:val="000000"/>
      <w:sz w:val="20"/>
      <w:szCs w:val="20"/>
      <w:u w:val="none"/>
    </w:rPr>
  </w:style>
  <w:style w:type="character" w:customStyle="1" w:styleId="38">
    <w:name w:val="font41"/>
    <w:basedOn w:val="15"/>
    <w:qFormat/>
    <w:uiPriority w:val="0"/>
    <w:rPr>
      <w:rFonts w:hint="eastAsia" w:ascii="宋体" w:hAnsi="宋体" w:eastAsia="宋体" w:cs="宋体"/>
      <w:b/>
      <w:bCs/>
      <w:color w:val="000000"/>
      <w:sz w:val="20"/>
      <w:szCs w:val="20"/>
      <w:u w:val="none"/>
    </w:rPr>
  </w:style>
  <w:style w:type="paragraph" w:customStyle="1" w:styleId="3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修订1"/>
    <w:hidden/>
    <w:unhideWhenUsed/>
    <w:qFormat/>
    <w:uiPriority w:val="99"/>
    <w:rPr>
      <w:rFonts w:ascii="Calibri" w:hAnsi="Calibri" w:eastAsia="宋体" w:cs="宋体"/>
      <w:kern w:val="2"/>
      <w:sz w:val="21"/>
      <w:szCs w:val="22"/>
      <w:lang w:val="en-US" w:eastAsia="zh-CN" w:bidi="ar-SA"/>
    </w:rPr>
  </w:style>
  <w:style w:type="paragraph" w:styleId="4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修订2"/>
    <w:hidden/>
    <w:semiHidden/>
    <w:qFormat/>
    <w:uiPriority w:val="99"/>
    <w:rPr>
      <w:rFonts w:ascii="Calibri" w:hAnsi="Calibri" w:eastAsia="宋体" w:cs="宋体"/>
      <w:kern w:val="2"/>
      <w:sz w:val="21"/>
      <w:szCs w:val="22"/>
      <w:lang w:val="en-US" w:eastAsia="zh-CN" w:bidi="ar-SA"/>
    </w:rPr>
  </w:style>
  <w:style w:type="paragraph" w:customStyle="1" w:styleId="43">
    <w:name w:val="修订3"/>
    <w:hidden/>
    <w:semiHidden/>
    <w:qFormat/>
    <w:uiPriority w:val="99"/>
    <w:rPr>
      <w:rFonts w:ascii="Calibri" w:hAnsi="Calibri" w:eastAsia="宋体" w:cs="宋体"/>
      <w:kern w:val="2"/>
      <w:sz w:val="21"/>
      <w:szCs w:val="22"/>
      <w:lang w:val="en-US" w:eastAsia="zh-CN" w:bidi="ar-SA"/>
    </w:rPr>
  </w:style>
  <w:style w:type="paragraph" w:customStyle="1" w:styleId="44">
    <w:name w:val="表格文字"/>
    <w:basedOn w:val="1"/>
    <w:next w:val="5"/>
    <w:qFormat/>
    <w:uiPriority w:val="0"/>
    <w:pPr>
      <w:snapToGrid w:val="0"/>
      <w:spacing w:before="25" w:after="25"/>
    </w:pPr>
    <w:rPr>
      <w:rFonts w:cs="Times New Roman" w:eastAsiaTheme="minorEastAsia"/>
      <w:bCs/>
      <w:spacing w:val="10"/>
      <w:sz w:val="24"/>
      <w:szCs w:val="24"/>
    </w:rPr>
  </w:style>
  <w:style w:type="character" w:customStyle="1" w:styleId="45">
    <w:name w:val="fontstyle01"/>
    <w:basedOn w:val="15"/>
    <w:qFormat/>
    <w:uiPriority w:val="0"/>
    <w:rPr>
      <w:rFonts w:hint="eastAsia" w:ascii="宋体" w:hAnsi="宋体" w:eastAsia="宋体" w:cs="宋体"/>
      <w:color w:val="000000"/>
      <w:sz w:val="22"/>
      <w:szCs w:val="22"/>
    </w:rPr>
  </w:style>
  <w:style w:type="paragraph" w:customStyle="1" w:styleId="46">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1405</Words>
  <Characters>8010</Characters>
  <Lines>66</Lines>
  <Paragraphs>18</Paragraphs>
  <TotalTime>15</TotalTime>
  <ScaleCrop>false</ScaleCrop>
  <LinksUpToDate>false</LinksUpToDate>
  <CharactersWithSpaces>9397</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2024-07-23T11:29:00Z</dcterms:created>
  <dc:creator>123</dc:creator>
  <cp:lastModifiedBy>梁杏婷</cp:lastModifiedBy>
  <cp:lastPrinted>2024-10-11T15:44:00Z</cp:lastPrinted>
  <dcterms:modified xsi:type="dcterms:W3CDTF">2024-10-14T10:39:27Z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A98539745967D0D65F840C67A9B8A5A2</vt:lpwstr>
  </property>
</Properties>
</file>