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line="578" w:lineRule="exact"/>
        <w:ind w:left="0" w:leftChars="0" w:firstLine="0" w:firstLineChars="0"/>
        <w:jc w:val="both"/>
        <w:rPr>
          <w:rFonts w:hint="eastAsia" w:ascii="方正小标宋简体" w:hAnsi="方正小标宋简体" w:eastAsia="方正小标宋简体" w:cs="方正小标宋简体"/>
          <w:bCs/>
          <w:color w:val="auto"/>
          <w:spacing w:val="-6"/>
          <w:sz w:val="44"/>
          <w:szCs w:val="44"/>
          <w:lang w:val="en-US" w:eastAsia="zh-CN"/>
        </w:rPr>
      </w:pPr>
      <w:r>
        <w:rPr>
          <w:sz w:val="44"/>
        </w:rPr>
        <mc:AlternateContent>
          <mc:Choice Requires="wps">
            <w:drawing>
              <wp:anchor distT="0" distB="0" distL="114300" distR="114300" simplePos="0" relativeHeight="251658240" behindDoc="0" locked="0" layoutInCell="1" allowOverlap="1">
                <wp:simplePos x="0" y="0"/>
                <wp:positionH relativeFrom="column">
                  <wp:posOffset>271145</wp:posOffset>
                </wp:positionH>
                <wp:positionV relativeFrom="paragraph">
                  <wp:posOffset>372745</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solidFill>
                          <a:srgbClr val="FFFFFF"/>
                        </a:solidFill>
                        <a:ln>
                          <a:noFill/>
                        </a:ln>
                      </wps:spPr>
                      <wps:txbx>
                        <w:txbxContent>
                          <w:p>
                            <w:pPr>
                              <w:keepNext/>
                              <w:keepLines/>
                              <w:pageBreakBefore w:val="0"/>
                              <w:widowControl w:val="0"/>
                              <w:numPr>
                                <w:ilvl w:val="0"/>
                                <w:numId w:val="0"/>
                              </w:numPr>
                              <w:kinsoku/>
                              <w:wordWrap/>
                              <w:overflowPunct/>
                              <w:topLinePunct w:val="0"/>
                              <w:autoSpaceDE/>
                              <w:autoSpaceDN/>
                              <w:bidi w:val="0"/>
                              <w:adjustRightInd/>
                              <w:snapToGrid/>
                              <w:spacing w:before="0" w:after="0" w:line="579" w:lineRule="exact"/>
                              <w:jc w:val="center"/>
                              <w:textAlignment w:val="auto"/>
                              <w:outlineLvl w:val="9"/>
                              <w:rPr>
                                <w:rFonts w:hint="eastAsia" w:ascii="方正小标宋简体" w:hAnsi="方正小标宋简体" w:eastAsia="方正小标宋简体" w:cs="方正小标宋简体"/>
                                <w:bCs/>
                                <w:color w:val="auto"/>
                                <w:spacing w:val="-6"/>
                                <w:sz w:val="44"/>
                                <w:szCs w:val="44"/>
                                <w:lang w:val="en-US" w:eastAsia="zh-CN"/>
                              </w:rPr>
                            </w:pPr>
                            <w:r>
                              <w:rPr>
                                <w:rFonts w:hint="eastAsia" w:ascii="方正小标宋简体" w:hAnsi="方正小标宋简体" w:eastAsia="方正小标宋简体" w:cs="方正小标宋简体"/>
                                <w:bCs/>
                                <w:color w:val="auto"/>
                                <w:spacing w:val="-6"/>
                                <w:sz w:val="44"/>
                                <w:szCs w:val="44"/>
                                <w:lang w:val="en-US" w:eastAsia="zh-CN"/>
                              </w:rPr>
                              <w:t>珠海高新区公共技术服务平台认定项目</w:t>
                            </w:r>
                          </w:p>
                          <w:p>
                            <w:pPr>
                              <w:keepNext/>
                              <w:keepLines/>
                              <w:pageBreakBefore w:val="0"/>
                              <w:widowControl w:val="0"/>
                              <w:numPr>
                                <w:ilvl w:val="0"/>
                                <w:numId w:val="0"/>
                              </w:numPr>
                              <w:kinsoku/>
                              <w:wordWrap/>
                              <w:overflowPunct/>
                              <w:topLinePunct w:val="0"/>
                              <w:autoSpaceDE/>
                              <w:autoSpaceDN/>
                              <w:bidi w:val="0"/>
                              <w:adjustRightInd/>
                              <w:snapToGrid/>
                              <w:spacing w:before="0" w:after="0" w:line="579" w:lineRule="exact"/>
                              <w:jc w:val="center"/>
                              <w:textAlignment w:val="auto"/>
                              <w:outlineLvl w:val="9"/>
                              <w:rPr>
                                <w:rFonts w:hint="eastAsia" w:ascii="方正小标宋简体" w:hAnsi="方正小标宋简体" w:eastAsia="方正小标宋简体" w:cs="方正小标宋简体"/>
                                <w:bCs/>
                                <w:color w:val="auto"/>
                                <w:spacing w:val="-6"/>
                                <w:sz w:val="44"/>
                                <w:szCs w:val="44"/>
                                <w:lang w:val="en-US" w:eastAsia="zh-CN"/>
                              </w:rPr>
                            </w:pPr>
                            <w:r>
                              <w:rPr>
                                <w:rFonts w:hint="eastAsia" w:ascii="方正小标宋简体" w:hAnsi="方正小标宋简体" w:eastAsia="方正小标宋简体" w:cs="方正小标宋简体"/>
                                <w:bCs/>
                                <w:color w:val="auto"/>
                                <w:spacing w:val="-6"/>
                                <w:sz w:val="44"/>
                                <w:szCs w:val="44"/>
                                <w:lang w:val="en-US" w:eastAsia="zh-CN"/>
                              </w:rPr>
                              <w:t>材料评审表</w:t>
                            </w:r>
                          </w:p>
                        </w:txbxContent>
                      </wps:txbx>
                      <wps:bodyPr wrap="none" upright="true">
                        <a:spAutoFit/>
                      </wps:bodyPr>
                    </wps:wsp>
                  </a:graphicData>
                </a:graphic>
              </wp:anchor>
            </w:drawing>
          </mc:Choice>
          <mc:Fallback>
            <w:pict>
              <v:shape id="_x0000_s1026" o:spid="_x0000_s1026" o:spt="202" type="#_x0000_t202" style="position:absolute;left:0pt;margin-left:21.35pt;margin-top:29.35pt;height:144pt;width:144pt;mso-wrap-distance-bottom:0pt;mso-wrap-distance-left:9pt;mso-wrap-distance-right:9pt;mso-wrap-distance-top:0pt;mso-wrap-style:none;z-index:251658240;mso-width-relative:page;mso-height-relative:page;" fillcolor="#FFFFFF" filled="t" stroked="f" coordsize="21600,21600" o:gfxdata="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&#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Fjs1B2AAAAAkBAAAPAAAAAAAAAAEAIAAAADgAAABk&#10;cnMvZG93bnJldi54bWxQSwECFAAUAAAACACHTuJAWOHbX7cBAABWAwAADgAAAAAAAAABACAAAAA9&#10;AQAAZHJzL2Uyb0RvYy54bWxQSwUGAAAAAAYABgBZAQAAZgUAAAAA&#10;">
                <v:path/>
                <v:fill on="t" focussize="0,0"/>
                <v:stroke on="f"/>
                <v:imagedata o:title=""/>
                <o:lock v:ext="edit" aspectratio="f"/>
                <v:textbox style="mso-fit-shape-to-text:t;">
                  <w:txbxContent>
                    <w:p>
                      <w:pPr>
                        <w:keepNext/>
                        <w:keepLines/>
                        <w:pageBreakBefore w:val="0"/>
                        <w:widowControl w:val="0"/>
                        <w:numPr>
                          <w:ilvl w:val="0"/>
                          <w:numId w:val="0"/>
                        </w:numPr>
                        <w:kinsoku/>
                        <w:wordWrap/>
                        <w:overflowPunct/>
                        <w:topLinePunct w:val="0"/>
                        <w:autoSpaceDE/>
                        <w:autoSpaceDN/>
                        <w:bidi w:val="0"/>
                        <w:adjustRightInd/>
                        <w:snapToGrid/>
                        <w:spacing w:before="0" w:after="0" w:line="579" w:lineRule="exact"/>
                        <w:jc w:val="center"/>
                        <w:textAlignment w:val="auto"/>
                        <w:outlineLvl w:val="9"/>
                        <w:rPr>
                          <w:rFonts w:hint="eastAsia" w:ascii="方正小标宋简体" w:hAnsi="方正小标宋简体" w:eastAsia="方正小标宋简体" w:cs="方正小标宋简体"/>
                          <w:bCs/>
                          <w:color w:val="auto"/>
                          <w:spacing w:val="-6"/>
                          <w:sz w:val="44"/>
                          <w:szCs w:val="44"/>
                          <w:lang w:val="en-US" w:eastAsia="zh-CN"/>
                        </w:rPr>
                      </w:pPr>
                      <w:r>
                        <w:rPr>
                          <w:rFonts w:hint="eastAsia" w:ascii="方正小标宋简体" w:hAnsi="方正小标宋简体" w:eastAsia="方正小标宋简体" w:cs="方正小标宋简体"/>
                          <w:bCs/>
                          <w:color w:val="auto"/>
                          <w:spacing w:val="-6"/>
                          <w:sz w:val="44"/>
                          <w:szCs w:val="44"/>
                          <w:lang w:val="en-US" w:eastAsia="zh-CN"/>
                        </w:rPr>
                        <w:t>珠海高新区公共技术服务平台认定项目</w:t>
                      </w:r>
                    </w:p>
                    <w:p>
                      <w:pPr>
                        <w:keepNext/>
                        <w:keepLines/>
                        <w:pageBreakBefore w:val="0"/>
                        <w:widowControl w:val="0"/>
                        <w:numPr>
                          <w:ilvl w:val="0"/>
                          <w:numId w:val="0"/>
                        </w:numPr>
                        <w:kinsoku/>
                        <w:wordWrap/>
                        <w:overflowPunct/>
                        <w:topLinePunct w:val="0"/>
                        <w:autoSpaceDE/>
                        <w:autoSpaceDN/>
                        <w:bidi w:val="0"/>
                        <w:adjustRightInd/>
                        <w:snapToGrid/>
                        <w:spacing w:before="0" w:after="0" w:line="579" w:lineRule="exact"/>
                        <w:jc w:val="center"/>
                        <w:textAlignment w:val="auto"/>
                        <w:outlineLvl w:val="9"/>
                        <w:rPr>
                          <w:rFonts w:hint="eastAsia" w:ascii="方正小标宋简体" w:hAnsi="方正小标宋简体" w:eastAsia="方正小标宋简体" w:cs="方正小标宋简体"/>
                          <w:bCs/>
                          <w:color w:val="auto"/>
                          <w:spacing w:val="-6"/>
                          <w:sz w:val="44"/>
                          <w:szCs w:val="44"/>
                          <w:lang w:val="en-US" w:eastAsia="zh-CN"/>
                        </w:rPr>
                      </w:pPr>
                      <w:r>
                        <w:rPr>
                          <w:rFonts w:hint="eastAsia" w:ascii="方正小标宋简体" w:hAnsi="方正小标宋简体" w:eastAsia="方正小标宋简体" w:cs="方正小标宋简体"/>
                          <w:bCs/>
                          <w:color w:val="auto"/>
                          <w:spacing w:val="-6"/>
                          <w:sz w:val="44"/>
                          <w:szCs w:val="44"/>
                          <w:lang w:val="en-US" w:eastAsia="zh-CN"/>
                        </w:rPr>
                        <w:t>材料评审表</w:t>
                      </w:r>
                    </w:p>
                  </w:txbxContent>
                </v:textbox>
                <w10:wrap type="square"/>
              </v:shape>
            </w:pict>
          </mc:Fallback>
        </mc:AlternateContent>
      </w:r>
      <w:r>
        <w:rPr>
          <w:rFonts w:hint="eastAsia" w:ascii="仿宋_GB2312" w:hAnsi="仿宋_GB2312" w:eastAsia="仿宋_GB2312" w:cs="仿宋_GB2312"/>
          <w:bCs/>
          <w:color w:val="auto"/>
          <w:spacing w:val="-6"/>
          <w:sz w:val="32"/>
          <w:szCs w:val="32"/>
          <w:lang w:val="en-US" w:eastAsia="zh-CN"/>
        </w:rPr>
        <w:t>附件1：</w:t>
      </w:r>
      <w:bookmarkStart w:id="0" w:name="_GoBack"/>
      <w:bookmarkEnd w:id="0"/>
    </w:p>
    <w:tbl>
      <w:tblPr>
        <w:tblStyle w:val="3"/>
        <w:tblpPr w:leftFromText="180" w:rightFromText="180" w:vertAnchor="text" w:horzAnchor="page" w:tblpX="869" w:tblpY="564"/>
        <w:tblOverlap w:val="never"/>
        <w:tblW w:w="5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9"/>
        <w:gridCol w:w="1316"/>
        <w:gridCol w:w="515"/>
        <w:gridCol w:w="4064"/>
        <w:gridCol w:w="2300"/>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ind w:firstLineChars="100"/>
              <w:jc w:val="left"/>
              <w:textAlignment w:val="center"/>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6"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类别</w:t>
            </w:r>
          </w:p>
        </w:tc>
        <w:tc>
          <w:tcPr>
            <w:tcW w:w="644"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考核指标</w:t>
            </w:r>
          </w:p>
        </w:tc>
        <w:tc>
          <w:tcPr>
            <w:tcW w:w="252"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分值</w:t>
            </w:r>
          </w:p>
        </w:tc>
        <w:tc>
          <w:tcPr>
            <w:tcW w:w="1989"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考核内容</w:t>
            </w:r>
          </w:p>
        </w:tc>
        <w:tc>
          <w:tcPr>
            <w:tcW w:w="1126"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评分原则（标准）</w:t>
            </w:r>
          </w:p>
        </w:tc>
        <w:tc>
          <w:tcPr>
            <w:tcW w:w="400"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231" w:type="pct"/>
            <w:gridSpan w:val="2"/>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前置性审查</w:t>
            </w:r>
          </w:p>
        </w:tc>
        <w:tc>
          <w:tcPr>
            <w:tcW w:w="252"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1989" w:type="pct"/>
            <w:tcBorders>
              <w:top w:val="nil"/>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符合下列条件之一的开放性技术平台：</w:t>
            </w:r>
          </w:p>
        </w:tc>
        <w:tc>
          <w:tcPr>
            <w:tcW w:w="1126" w:type="pct"/>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未通过前置性审查的项目不予继续审查，得0分</w:t>
            </w:r>
          </w:p>
        </w:tc>
        <w:tc>
          <w:tcPr>
            <w:tcW w:w="400" w:type="pct"/>
            <w:vMerge w:val="restart"/>
            <w:tcBorders>
              <w:top w:val="nil"/>
              <w:left w:val="nil"/>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231" w:type="pct"/>
            <w:gridSpan w:val="2"/>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52" w:type="pct"/>
            <w:vMerge w:val="continue"/>
            <w:tcBorders>
              <w:top w:val="nil"/>
              <w:left w:val="nil"/>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989" w:type="pct"/>
            <w:tcBorders>
              <w:top w:val="nil"/>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1.具备法定检测资质；</w:t>
            </w:r>
          </w:p>
        </w:tc>
        <w:tc>
          <w:tcPr>
            <w:tcW w:w="1126" w:type="pct"/>
            <w:vMerge w:val="continue"/>
            <w:tcBorders>
              <w:top w:val="nil"/>
              <w:left w:val="nil"/>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400" w:type="pct"/>
            <w:vMerge w:val="continue"/>
            <w:tcBorders>
              <w:top w:val="nil"/>
              <w:left w:val="nil"/>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231" w:type="pct"/>
            <w:gridSpan w:val="2"/>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52" w:type="pct"/>
            <w:vMerge w:val="continue"/>
            <w:tcBorders>
              <w:top w:val="nil"/>
              <w:left w:val="nil"/>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989"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2.具备研发试验、工艺验证等条件。</w:t>
            </w:r>
          </w:p>
        </w:tc>
        <w:tc>
          <w:tcPr>
            <w:tcW w:w="1126" w:type="pct"/>
            <w:vMerge w:val="continue"/>
            <w:tcBorders>
              <w:top w:val="nil"/>
              <w:left w:val="nil"/>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400" w:type="pct"/>
            <w:vMerge w:val="continue"/>
            <w:tcBorders>
              <w:top w:val="nil"/>
              <w:left w:val="nil"/>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31" w:type="pct"/>
            <w:gridSpan w:val="2"/>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52" w:type="pct"/>
            <w:vMerge w:val="continue"/>
            <w:tcBorders>
              <w:top w:val="nil"/>
              <w:left w:val="nil"/>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989"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依托单位的注册地与平台实际运营场所均在高新区内</w:t>
            </w:r>
          </w:p>
        </w:tc>
        <w:tc>
          <w:tcPr>
            <w:tcW w:w="1126" w:type="pct"/>
            <w:vMerge w:val="continue"/>
            <w:tcBorders>
              <w:top w:val="nil"/>
              <w:left w:val="nil"/>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400" w:type="pct"/>
            <w:vMerge w:val="continue"/>
            <w:tcBorders>
              <w:top w:val="nil"/>
              <w:left w:val="nil"/>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pct"/>
            <w:vMerge w:val="restart"/>
            <w:tcBorders>
              <w:top w:val="nil"/>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基本条件（20分）</w:t>
            </w:r>
          </w:p>
        </w:tc>
        <w:tc>
          <w:tcPr>
            <w:tcW w:w="644"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场地保障</w:t>
            </w:r>
          </w:p>
        </w:tc>
        <w:tc>
          <w:tcPr>
            <w:tcW w:w="252"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10</w:t>
            </w:r>
          </w:p>
        </w:tc>
        <w:tc>
          <w:tcPr>
            <w:tcW w:w="1989"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是否具有固定的科研办公、检测或研发试验场所</w:t>
            </w:r>
          </w:p>
        </w:tc>
        <w:tc>
          <w:tcPr>
            <w:tcW w:w="1126" w:type="pc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按面积打分，最低不得少于500平米（否决项）</w:t>
            </w:r>
          </w:p>
        </w:tc>
        <w:tc>
          <w:tcPr>
            <w:tcW w:w="400" w:type="pct"/>
            <w:tcBorders>
              <w:top w:val="single" w:color="000000" w:sz="8" w:space="0"/>
              <w:left w:val="nil"/>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pct"/>
            <w:vMerge w:val="continue"/>
            <w:tcBorders>
              <w:top w:val="nil"/>
              <w:left w:val="single" w:color="000000" w:sz="8" w:space="0"/>
              <w:bottom w:val="nil"/>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644" w:type="pct"/>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拥有仪器设备（含软件）</w:t>
            </w:r>
          </w:p>
        </w:tc>
        <w:tc>
          <w:tcPr>
            <w:tcW w:w="252" w:type="pct"/>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10</w:t>
            </w:r>
          </w:p>
        </w:tc>
        <w:tc>
          <w:tcPr>
            <w:tcW w:w="1989" w:type="pct"/>
            <w:tcBorders>
              <w:top w:val="nil"/>
              <w:left w:val="nil"/>
              <w:bottom w:val="nil"/>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检测业务仪器设备价值或研发设备或工具软件原值</w:t>
            </w:r>
          </w:p>
        </w:tc>
        <w:tc>
          <w:tcPr>
            <w:tcW w:w="1126" w:type="pct"/>
            <w:tcBorders>
              <w:top w:val="nil"/>
              <w:left w:val="nil"/>
              <w:bottom w:val="nil"/>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按价值打分，最低不得少于300万元（否决项）</w:t>
            </w:r>
          </w:p>
        </w:tc>
        <w:tc>
          <w:tcPr>
            <w:tcW w:w="400" w:type="pct"/>
            <w:tcBorders>
              <w:top w:val="nil"/>
              <w:left w:val="nil"/>
              <w:bottom w:val="nil"/>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6"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运行管理（10分）</w:t>
            </w:r>
          </w:p>
        </w:tc>
        <w:tc>
          <w:tcPr>
            <w:tcW w:w="6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运行经费保障</w:t>
            </w:r>
          </w:p>
        </w:tc>
        <w:tc>
          <w:tcPr>
            <w:tcW w:w="25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98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日常运作经费保障程度</w:t>
            </w:r>
          </w:p>
        </w:tc>
        <w:tc>
          <w:tcPr>
            <w:tcW w:w="11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依据经费保障充分程度打分</w:t>
            </w:r>
          </w:p>
        </w:tc>
        <w:tc>
          <w:tcPr>
            <w:tcW w:w="400"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6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运营与管理</w:t>
            </w:r>
          </w:p>
        </w:tc>
        <w:tc>
          <w:tcPr>
            <w:tcW w:w="25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98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包括管理制度、流程、收费标准、网站、服务手段和现场环境管理等</w:t>
            </w:r>
          </w:p>
        </w:tc>
        <w:tc>
          <w:tcPr>
            <w:tcW w:w="11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依据规范的程度打分</w:t>
            </w:r>
          </w:p>
        </w:tc>
        <w:tc>
          <w:tcPr>
            <w:tcW w:w="400"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人才团队（15分）</w:t>
            </w:r>
          </w:p>
        </w:tc>
        <w:tc>
          <w:tcPr>
            <w:tcW w:w="6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服务团队能力</w:t>
            </w:r>
          </w:p>
        </w:tc>
        <w:tc>
          <w:tcPr>
            <w:tcW w:w="25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98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近三年团队成员获国家、省、市级科技奖励，或者入选国家、省、市人才计划</w:t>
            </w:r>
          </w:p>
        </w:tc>
        <w:tc>
          <w:tcPr>
            <w:tcW w:w="11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按所获得的奖项或入选人才计划级别打分</w:t>
            </w:r>
          </w:p>
        </w:tc>
        <w:tc>
          <w:tcPr>
            <w:tcW w:w="400" w:type="pct"/>
            <w:tcBorders>
              <w:top w:val="single" w:color="000000" w:sz="8" w:space="0"/>
              <w:left w:val="single" w:color="000000" w:sz="8" w:space="0"/>
              <w:bottom w:val="single" w:color="000000" w:sz="8" w:space="0"/>
              <w:right w:val="single" w:color="000000" w:sz="8" w:space="0"/>
            </w:tcBorders>
            <w:noWrap w:val="0"/>
            <w:vAlign w:val="center"/>
          </w:tcPr>
          <w:p>
            <w:pP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6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平台人数</w:t>
            </w:r>
          </w:p>
        </w:tc>
        <w:tc>
          <w:tcPr>
            <w:tcW w:w="25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98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平台服务专职人员数量</w:t>
            </w:r>
          </w:p>
        </w:tc>
        <w:tc>
          <w:tcPr>
            <w:tcW w:w="11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依据专职人员数量情况打分</w:t>
            </w:r>
          </w:p>
        </w:tc>
        <w:tc>
          <w:tcPr>
            <w:tcW w:w="400"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6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人员结构</w:t>
            </w:r>
          </w:p>
        </w:tc>
        <w:tc>
          <w:tcPr>
            <w:tcW w:w="25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98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专业技术人员占服务平台总人数的比例或本科以上和中级职称以上人员占专业技术人员的比例</w:t>
            </w:r>
          </w:p>
        </w:tc>
        <w:tc>
          <w:tcPr>
            <w:tcW w:w="11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依据占比情况打分</w:t>
            </w:r>
          </w:p>
        </w:tc>
        <w:tc>
          <w:tcPr>
            <w:tcW w:w="400"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6"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公共服务成效</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（30分）</w:t>
            </w:r>
          </w:p>
        </w:tc>
        <w:tc>
          <w:tcPr>
            <w:tcW w:w="644"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开展公共业务服务情况</w:t>
            </w:r>
          </w:p>
        </w:tc>
        <w:tc>
          <w:tcPr>
            <w:tcW w:w="25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15</w:t>
            </w:r>
          </w:p>
        </w:tc>
        <w:tc>
          <w:tcPr>
            <w:tcW w:w="198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面向产业提供服务的数量（家/次）</w:t>
            </w:r>
          </w:p>
        </w:tc>
        <w:tc>
          <w:tcPr>
            <w:tcW w:w="11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依据上年度服务高新区创新主体数量或服务案例数量打分</w:t>
            </w:r>
          </w:p>
        </w:tc>
        <w:tc>
          <w:tcPr>
            <w:tcW w:w="400"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644"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5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98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非国家强制性服务性收入（对外服务能力）</w:t>
            </w:r>
          </w:p>
        </w:tc>
        <w:tc>
          <w:tcPr>
            <w:tcW w:w="11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依据上年服务性收入情况打分</w:t>
            </w:r>
          </w:p>
        </w:tc>
        <w:tc>
          <w:tcPr>
            <w:tcW w:w="400"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6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其它相关服务情况</w:t>
            </w:r>
          </w:p>
        </w:tc>
        <w:tc>
          <w:tcPr>
            <w:tcW w:w="25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98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开展主导业务相关的咨询、培训及学术活动</w:t>
            </w:r>
          </w:p>
        </w:tc>
        <w:tc>
          <w:tcPr>
            <w:tcW w:w="11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依据其它相关服务开展情况打分</w:t>
            </w:r>
          </w:p>
        </w:tc>
        <w:tc>
          <w:tcPr>
            <w:tcW w:w="400"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综合能力（25分）</w:t>
            </w:r>
          </w:p>
        </w:tc>
        <w:tc>
          <w:tcPr>
            <w:tcW w:w="644"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获得专业资质</w:t>
            </w:r>
          </w:p>
        </w:tc>
        <w:tc>
          <w:tcPr>
            <w:tcW w:w="252"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198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获得行业专业资质情况</w:t>
            </w:r>
          </w:p>
        </w:tc>
        <w:tc>
          <w:tcPr>
            <w:tcW w:w="11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依据已获得行业专业检测等相关资质情况打分</w:t>
            </w:r>
          </w:p>
        </w:tc>
        <w:tc>
          <w:tcPr>
            <w:tcW w:w="400"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8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6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取得各级平台认定</w:t>
            </w:r>
          </w:p>
        </w:tc>
        <w:tc>
          <w:tcPr>
            <w:tcW w:w="25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98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近三年获国家、省、市重点实验室、新型研发机构等平台认定</w:t>
            </w:r>
          </w:p>
        </w:tc>
        <w:tc>
          <w:tcPr>
            <w:tcW w:w="11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按平台认定级别打分</w:t>
            </w:r>
          </w:p>
        </w:tc>
        <w:tc>
          <w:tcPr>
            <w:tcW w:w="400"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6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科研投入</w:t>
            </w:r>
          </w:p>
        </w:tc>
        <w:tc>
          <w:tcPr>
            <w:tcW w:w="25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98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上年度科研经费支出</w:t>
            </w:r>
          </w:p>
        </w:tc>
        <w:tc>
          <w:tcPr>
            <w:tcW w:w="11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依据科研支出情况打分</w:t>
            </w:r>
          </w:p>
        </w:tc>
        <w:tc>
          <w:tcPr>
            <w:tcW w:w="400" w:type="pc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644"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成果产出情况</w:t>
            </w:r>
          </w:p>
        </w:tc>
        <w:tc>
          <w:tcPr>
            <w:tcW w:w="252"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98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1.近三年获国家、省、市级科技奖励；</w:t>
            </w:r>
          </w:p>
        </w:tc>
        <w:tc>
          <w:tcPr>
            <w:tcW w:w="1126"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依据获奖或承担科技项目的级别等，分级分类打分</w:t>
            </w:r>
          </w:p>
        </w:tc>
        <w:tc>
          <w:tcPr>
            <w:tcW w:w="400" w:type="pct"/>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644"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52"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98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2.近三年承担国家、省、市科技计划项目；</w:t>
            </w:r>
          </w:p>
        </w:tc>
        <w:tc>
          <w:tcPr>
            <w:tcW w:w="112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cs="仿宋_GB2312"/>
                <w:i w:val="0"/>
                <w:color w:val="000000"/>
                <w:sz w:val="24"/>
                <w:szCs w:val="24"/>
                <w:u w:val="none"/>
              </w:rPr>
            </w:pPr>
          </w:p>
        </w:tc>
        <w:tc>
          <w:tcPr>
            <w:tcW w:w="40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644"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52"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98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3.近三年获发明专利授权、新药证书、软件著作权；</w:t>
            </w:r>
          </w:p>
        </w:tc>
        <w:tc>
          <w:tcPr>
            <w:tcW w:w="112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cs="仿宋_GB2312"/>
                <w:i w:val="0"/>
                <w:color w:val="000000"/>
                <w:sz w:val="24"/>
                <w:szCs w:val="24"/>
                <w:u w:val="none"/>
              </w:rPr>
            </w:pPr>
          </w:p>
        </w:tc>
        <w:tc>
          <w:tcPr>
            <w:tcW w:w="40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644"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52"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98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4.近三年参与地方以上标准制定；</w:t>
            </w:r>
          </w:p>
        </w:tc>
        <w:tc>
          <w:tcPr>
            <w:tcW w:w="1126"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eastAsia" w:ascii="仿宋_GB2312" w:hAnsi="宋体" w:eastAsia="仿宋_GB2312" w:cs="仿宋_GB2312"/>
                <w:i w:val="0"/>
                <w:color w:val="000000"/>
                <w:sz w:val="24"/>
                <w:szCs w:val="24"/>
                <w:u w:val="none"/>
              </w:rPr>
            </w:pPr>
          </w:p>
        </w:tc>
        <w:tc>
          <w:tcPr>
            <w:tcW w:w="400"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000" w:type="pct"/>
            <w:gridSpan w:val="6"/>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评分总计：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5000" w:type="pct"/>
            <w:gridSpan w:val="6"/>
            <w:tcBorders>
              <w:top w:val="nil"/>
              <w:left w:val="single" w:color="000000" w:sz="8" w:space="0"/>
              <w:bottom w:val="nil"/>
              <w:right w:val="single" w:color="000000" w:sz="8"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材料评审结果：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5000" w:type="pct"/>
            <w:gridSpan w:val="6"/>
            <w:tcBorders>
              <w:top w:val="nil"/>
              <w:left w:val="single" w:color="000000" w:sz="8" w:space="0"/>
              <w:bottom w:val="nil"/>
              <w:right w:val="single" w:color="000000" w:sz="8"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□推  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000" w:type="pct"/>
            <w:gridSpan w:val="6"/>
            <w:tcBorders>
              <w:top w:val="nil"/>
              <w:left w:val="single" w:color="000000" w:sz="8" w:space="0"/>
              <w:bottom w:val="nil"/>
              <w:right w:val="single" w:color="000000" w:sz="8"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000" w:type="pct"/>
            <w:gridSpan w:val="6"/>
            <w:tcBorders>
              <w:top w:val="nil"/>
              <w:left w:val="single" w:color="000000" w:sz="8" w:space="0"/>
              <w:bottom w:val="nil"/>
              <w:right w:val="single" w:color="000000" w:sz="8"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具体原因说明：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6"/>
            <w:tcBorders>
              <w:top w:val="nil"/>
              <w:left w:val="single" w:color="000000" w:sz="8" w:space="0"/>
              <w:bottom w:val="single" w:color="000000" w:sz="8" w:space="0"/>
              <w:right w:val="single" w:color="000000" w:sz="8" w:space="0"/>
            </w:tcBorders>
            <w:noWrap w:val="0"/>
            <w:vAlign w:val="center"/>
          </w:tcPr>
          <w:p>
            <w:pPr>
              <w:jc w:val="both"/>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6"/>
            <w:vMerge w:val="restart"/>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专家综合意见：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5000" w:type="pct"/>
            <w:gridSpan w:val="6"/>
            <w:vMerge w:val="continue"/>
            <w:tcBorders>
              <w:top w:val="nil"/>
              <w:left w:val="single" w:color="000000" w:sz="8" w:space="0"/>
              <w:bottom w:val="single" w:color="000000" w:sz="8" w:space="0"/>
              <w:right w:val="single" w:color="000000" w:sz="8" w:space="0"/>
            </w:tcBorders>
            <w:noWrap w:val="0"/>
            <w:vAlign w:val="center"/>
          </w:tcPr>
          <w:p>
            <w:pPr>
              <w:jc w:val="both"/>
              <w:rPr>
                <w:rFonts w:hint="eastAsia" w:ascii="仿宋_GB2312" w:hAnsi="宋体" w:eastAsia="仿宋_GB2312" w:cs="仿宋_GB2312"/>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6"/>
            <w:tcBorders>
              <w:top w:val="nil"/>
              <w:left w:val="single" w:color="000000" w:sz="8" w:space="0"/>
              <w:bottom w:val="nil"/>
              <w:right w:val="single" w:color="000000" w:sz="8" w:space="0"/>
            </w:tcBorders>
            <w:shd w:val="clear" w:color="auto" w:fill="FFFFFF"/>
            <w:noWrap w:val="0"/>
            <w:vAlign w:val="top"/>
          </w:tcPr>
          <w:p>
            <w:pPr>
              <w:keepNext w:val="0"/>
              <w:keepLines w:val="0"/>
              <w:widowControl/>
              <w:suppressLineNumbers w:val="0"/>
              <w:jc w:val="both"/>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专家组组长签名：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000" w:type="pct"/>
            <w:gridSpan w:val="6"/>
            <w:tcBorders>
              <w:top w:val="nil"/>
              <w:left w:val="single" w:color="000000" w:sz="8" w:space="0"/>
              <w:bottom w:val="nil"/>
              <w:right w:val="single" w:color="000000" w:sz="8" w:space="0"/>
            </w:tcBorders>
            <w:shd w:val="clear" w:color="auto" w:fill="FFFFFF"/>
            <w:noWrap w:val="0"/>
            <w:vAlign w:val="top"/>
          </w:tcPr>
          <w:p>
            <w:pPr>
              <w:jc w:val="both"/>
              <w:rPr>
                <w:rFonts w:hint="eastAsia" w:ascii="仿宋_GB2312" w:hAnsi="宋体"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5000" w:type="pct"/>
            <w:gridSpan w:val="6"/>
            <w:tcBorders>
              <w:top w:val="nil"/>
              <w:left w:val="single" w:color="000000" w:sz="8" w:space="0"/>
              <w:bottom w:val="nil"/>
              <w:right w:val="single" w:color="000000" w:sz="8" w:space="0"/>
            </w:tcBorders>
            <w:shd w:val="clear" w:color="auto" w:fill="FFFFFF"/>
            <w:noWrap w:val="0"/>
            <w:vAlign w:val="top"/>
          </w:tcPr>
          <w:p>
            <w:pPr>
              <w:keepNext w:val="0"/>
              <w:keepLines w:val="0"/>
              <w:widowControl/>
              <w:suppressLineNumbers w:val="0"/>
              <w:jc w:val="both"/>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专家组成员签名：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5000" w:type="pct"/>
            <w:gridSpan w:val="6"/>
            <w:tcBorders>
              <w:top w:val="nil"/>
              <w:left w:val="single" w:color="000000" w:sz="8" w:space="0"/>
              <w:bottom w:val="nil"/>
              <w:right w:val="single" w:color="000000" w:sz="8" w:space="0"/>
            </w:tcBorders>
            <w:shd w:val="clear" w:color="auto" w:fill="FFFFFF"/>
            <w:noWrap w:val="0"/>
            <w:vAlign w:val="center"/>
          </w:tcPr>
          <w:p>
            <w:pPr>
              <w:jc w:val="both"/>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000" w:type="pct"/>
            <w:gridSpan w:val="6"/>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w:t>
            </w:r>
            <w:r>
              <w:rPr>
                <w:rStyle w:val="5"/>
                <w:rFonts w:hAnsi="宋体"/>
                <w:color w:val="000000"/>
                <w:lang w:val="en-US" w:eastAsia="zh-CN" w:bidi="ar"/>
              </w:rPr>
              <w:t xml:space="preserve"> 年    月   日</w:t>
            </w:r>
          </w:p>
        </w:tc>
      </w:tr>
    </w:tbl>
    <w:p>
      <w:r>
        <w:rPr>
          <w:rFonts w:hint="eastAsia" w:ascii="仿宋_GB2312" w:hAnsi="仿宋_GB2312" w:eastAsia="仿宋_GB2312" w:cs="仿宋_GB2312"/>
          <w:bCs/>
          <w:color w:val="auto"/>
          <w:spacing w:val="-6"/>
          <w:sz w:val="28"/>
          <w:szCs w:val="28"/>
          <w:lang w:val="en-US" w:eastAsia="zh-CN"/>
        </w:rPr>
        <w:t>备注：材料评审表依据每年实际情况更新，以当年申报通知为准。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C724C"/>
    <w:rsid w:val="3FAC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autoSpaceDN/>
      <w:adjustRightInd/>
      <w:ind w:firstLine="420"/>
      <w:jc w:val="both"/>
      <w:textAlignment w:val="auto"/>
    </w:pPr>
    <w:rPr>
      <w:rFonts w:ascii="Times New Roman"/>
      <w:kern w:val="2"/>
      <w:sz w:val="21"/>
    </w:rPr>
  </w:style>
  <w:style w:type="character" w:customStyle="1" w:styleId="5">
    <w:name w:val="font41"/>
    <w:basedOn w:val="4"/>
    <w:qFormat/>
    <w:uiPriority w:val="0"/>
    <w:rPr>
      <w:rFonts w:hint="eastAsia" w:ascii="仿宋_GB2312" w:eastAsia="仿宋_GB2312" w:cs="仿宋_GB2312"/>
      <w:b/>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2024-02-07T16:55:00Z</dcterms:created>
  <dc:creator>user</dc:creator>
  <cp:lastModifiedBy>user</cp:lastModifiedBy>
  <dcterms:modified xsi:type="dcterms:W3CDTF">2024-02-07T16:56:24Z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