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1" w:lineRule="auto"/>
        <w:ind w:left="44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4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24"/>
          <w:sz w:val="31"/>
          <w:szCs w:val="31"/>
          <w:lang w:val="en-US" w:eastAsia="zh-CN"/>
        </w:rPr>
        <w:t>3-1</w:t>
      </w:r>
      <w:bookmarkStart w:id="0" w:name="_GoBack"/>
      <w:bookmarkEnd w:id="0"/>
    </w:p>
    <w:p>
      <w:pPr>
        <w:spacing w:before="189" w:line="187" w:lineRule="auto"/>
        <w:ind w:left="202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“三新”“一强”推进计划</w:t>
      </w:r>
    </w:p>
    <w:p>
      <w:pPr>
        <w:spacing w:before="205" w:line="371" w:lineRule="auto"/>
        <w:ind w:left="26" w:right="121" w:firstLine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企业名称：</w:t>
      </w:r>
      <w:r>
        <w:rPr>
          <w:rFonts w:ascii="FangSong" w:hAnsi="FangSong" w:eastAsia="FangSong" w:cs="FangSong"/>
          <w:spacing w:val="-2"/>
          <w:sz w:val="31"/>
          <w:szCs w:val="31"/>
          <w:u w:val="single" w:color="auto"/>
        </w:rPr>
        <w:t xml:space="preserve">                         </w:t>
      </w:r>
      <w:r>
        <w:rPr>
          <w:rFonts w:ascii="FangSong" w:hAnsi="FangSong" w:eastAsia="FangSong" w:cs="FangSong"/>
          <w:spacing w:val="-1"/>
          <w:sz w:val="31"/>
          <w:szCs w:val="31"/>
          <w:u w:val="single" w:color="auto"/>
        </w:rPr>
        <w:t xml:space="preserve">         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推</w:t>
      </w:r>
      <w:r>
        <w:rPr>
          <w:rFonts w:ascii="FangSong" w:hAnsi="FangSong" w:eastAsia="FangSong" w:cs="FangSong"/>
          <w:spacing w:val="5"/>
          <w:sz w:val="31"/>
          <w:szCs w:val="31"/>
        </w:rPr>
        <w:t>进计划名称：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firstLine="63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一、背景和必要性 (不超过3000字</w:t>
      </w:r>
      <w:r>
        <w:rPr>
          <w:rFonts w:hint="eastAsia" w:ascii="黑体" w:hAnsi="黑体" w:eastAsia="黑体" w:cs="黑体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介绍本推进计划的需求来源、技术竞争性分析、现有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艺技术方案等，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以及实施本推进计划的必要性。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92" w:firstLineChars="200"/>
        <w:textAlignment w:val="baseline"/>
        <w:outlineLvl w:val="0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、拟开展的主要内容、标志性成果和作用意义(不超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过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1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介绍本推进计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拟围绕“三新”“一强”将开展哪些工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作，分别取得哪些标志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性成果，以及取得标志性成果的作用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义，可包括但不限于对企业自身发展带来的经济效益，以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对国民经济稳定性或产业链韧性等方面带来的社会效益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32" w:firstLineChars="200"/>
        <w:textAlignment w:val="baseline"/>
        <w:outlineLvl w:val="0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三、可行性分析(不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绍本企业实施推进计划的优势和可能面临的困难问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题，以及解决困难问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题的考虑和举措，分析完成推进计划的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可行性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4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四、投资情</w:t>
      </w:r>
      <w:r>
        <w:rPr>
          <w:rFonts w:hint="eastAsia" w:ascii="黑体" w:hAnsi="黑体" w:eastAsia="黑体" w:cs="黑体"/>
          <w:sz w:val="32"/>
          <w:szCs w:val="32"/>
        </w:rPr>
        <w:t>况、年度安排和绩效目标(不超过3000字)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绍本企业实施推进计划的拟投资总额，包含资金来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主要投资方向和资金分配计划等。介绍分年度实施推进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划的安排和绩效目标，分年度绩效目标应可量化可考核，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包含所有标志性成果。</w:t>
      </w:r>
    </w:p>
    <w:sectPr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BF5863"/>
    <w:rsid w:val="4FFF80EA"/>
    <w:rsid w:val="5C7B2C48"/>
    <w:rsid w:val="7B7F06BD"/>
    <w:rsid w:val="7DEE37BE"/>
    <w:rsid w:val="7E658675"/>
    <w:rsid w:val="7FBD480B"/>
    <w:rsid w:val="C57FCBC7"/>
    <w:rsid w:val="F7CEEB92"/>
    <w:rsid w:val="FBFA07AD"/>
    <w:rsid w:val="FED9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小林</cp:lastModifiedBy>
  <dcterms:modified xsi:type="dcterms:W3CDTF">2024-07-01T10:35:18Z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2052-11.8.2.12065</vt:lpwstr>
  </property>
  <property fmtid="{D5CDD505-2E9C-101B-9397-08002B2CF9AE}" pid="5" name="ICV">
    <vt:lpwstr>3F8EADAA568B49DBE615826628825863</vt:lpwstr>
  </property>
</Properties>
</file>